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88CB1" w14:textId="7516F40A" w:rsidR="00387F27" w:rsidRPr="002E16F4" w:rsidRDefault="00387F27" w:rsidP="00387F27">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 </w:t>
      </w:r>
      <w:r w:rsidRPr="00926446">
        <w:rPr>
          <w:rFonts w:ascii="Arial" w:eastAsia="Batang" w:hAnsi="Arial" w:cs="Arial"/>
          <w:b/>
          <w:bCs/>
          <w:sz w:val="28"/>
          <w:szCs w:val="24"/>
        </w:rPr>
        <w:t>10</w:t>
      </w:r>
      <w:r>
        <w:rPr>
          <w:rFonts w:ascii="Arial" w:eastAsia="Batang" w:hAnsi="Arial" w:cs="Arial"/>
          <w:b/>
          <w:bCs/>
          <w:sz w:val="28"/>
          <w:szCs w:val="24"/>
        </w:rPr>
        <w:t xml:space="preserve">3-e                                                                 </w:t>
      </w:r>
      <w:r w:rsidR="00D5337D" w:rsidRPr="00D5337D">
        <w:rPr>
          <w:rFonts w:ascii="Arial" w:eastAsia="Batang" w:hAnsi="Arial" w:cs="Arial"/>
          <w:b/>
          <w:bCs/>
          <w:sz w:val="28"/>
          <w:szCs w:val="24"/>
        </w:rPr>
        <w:t>R1-2008990</w:t>
      </w:r>
    </w:p>
    <w:p w14:paraId="6CBA2AD4" w14:textId="77777777" w:rsidR="00387F27" w:rsidRPr="002E16F4" w:rsidRDefault="00387F27" w:rsidP="00387F27">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 xml:space="preserve">, </w:t>
      </w:r>
      <w:r w:rsidRPr="00030A95">
        <w:rPr>
          <w:rFonts w:ascii="Arial" w:eastAsia="MS Mincho" w:hAnsi="Arial" w:cs="Arial"/>
          <w:b/>
          <w:bCs/>
          <w:sz w:val="28"/>
          <w:szCs w:val="24"/>
          <w:lang w:eastAsia="ja-JP"/>
        </w:rPr>
        <w:t>October 26</w:t>
      </w:r>
      <w:r w:rsidRPr="00030A95">
        <w:rPr>
          <w:rFonts w:ascii="Arial" w:eastAsia="MS Mincho" w:hAnsi="Arial" w:cs="Arial"/>
          <w:b/>
          <w:bCs/>
          <w:sz w:val="28"/>
          <w:szCs w:val="24"/>
          <w:vertAlign w:val="superscript"/>
          <w:lang w:eastAsia="ja-JP"/>
        </w:rPr>
        <w:t>th</w:t>
      </w:r>
      <w:r w:rsidRPr="00030A95">
        <w:rPr>
          <w:rFonts w:ascii="Arial" w:eastAsia="MS Mincho" w:hAnsi="Arial" w:cs="Arial"/>
          <w:b/>
          <w:bCs/>
          <w:sz w:val="28"/>
          <w:szCs w:val="24"/>
          <w:lang w:eastAsia="ja-JP"/>
        </w:rPr>
        <w:t xml:space="preserve"> – November 13</w:t>
      </w:r>
      <w:r w:rsidRPr="00030A95">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2020</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6C0ADD61"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F23AF" w:rsidRPr="007F23AF">
        <w:rPr>
          <w:rFonts w:ascii="Arial" w:eastAsia="Malgun Gothic" w:hAnsi="Arial" w:cs="Arial"/>
          <w:b/>
          <w:sz w:val="24"/>
          <w:lang w:val="en-US" w:eastAsia="ko-KR"/>
        </w:rPr>
        <w:t xml:space="preserve">On </w:t>
      </w:r>
      <w:r w:rsidR="00D2228D">
        <w:rPr>
          <w:rFonts w:ascii="Arial" w:eastAsia="Malgun Gothic" w:hAnsi="Arial" w:cs="Arial"/>
          <w:b/>
          <w:sz w:val="24"/>
          <w:lang w:val="en-US" w:eastAsia="ko-KR"/>
        </w:rPr>
        <w:t>UL time and frequency synchronization for NTN</w:t>
      </w:r>
    </w:p>
    <w:p w14:paraId="3596330A" w14:textId="1928EF35"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8.4.2</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5FCC212B" w14:textId="1F95B711" w:rsidR="0024648C" w:rsidRPr="000B4ADF" w:rsidRDefault="00847C7F" w:rsidP="0024648C">
      <w:pPr>
        <w:snapToGrid w:val="0"/>
        <w:spacing w:before="240" w:after="120"/>
        <w:ind w:right="-99"/>
        <w:jc w:val="both"/>
        <w:textAlignment w:val="auto"/>
        <w:rPr>
          <w:sz w:val="22"/>
          <w:szCs w:val="22"/>
          <w:lang w:val="en-US" w:eastAsia="ko-KR"/>
        </w:rPr>
      </w:pPr>
      <w:r w:rsidRPr="000B4ADF">
        <w:rPr>
          <w:sz w:val="22"/>
          <w:szCs w:val="22"/>
          <w:lang w:val="en-US" w:eastAsia="ko-KR"/>
        </w:rPr>
        <w:t>At the 3GPP TSG RAN meeting #86 the new work item</w:t>
      </w:r>
      <w:r w:rsidR="0024648C" w:rsidRPr="000B4ADF">
        <w:rPr>
          <w:sz w:val="22"/>
          <w:szCs w:val="22"/>
          <w:lang w:val="en-US" w:eastAsia="ko-KR"/>
        </w:rPr>
        <w:t xml:space="preserve"> (WI)</w:t>
      </w:r>
      <w:r w:rsidRPr="000B4ADF">
        <w:rPr>
          <w:sz w:val="22"/>
          <w:szCs w:val="22"/>
          <w:lang w:val="en-US" w:eastAsia="ko-KR"/>
        </w:rPr>
        <w:t xml:space="preserve"> on solutions for NR to support non-terrestrial networks (NTN) was approved in [1]. </w:t>
      </w:r>
      <w:r w:rsidR="00885114">
        <w:rPr>
          <w:sz w:val="22"/>
          <w:szCs w:val="22"/>
          <w:lang w:val="en-US" w:eastAsia="ko-KR"/>
        </w:rPr>
        <w:t>The</w:t>
      </w:r>
      <w:r w:rsidR="00C70D0C">
        <w:rPr>
          <w:sz w:val="22"/>
          <w:szCs w:val="22"/>
          <w:lang w:val="en-US" w:eastAsia="ko-KR"/>
        </w:rPr>
        <w:t xml:space="preserve"> NR</w:t>
      </w:r>
      <w:r w:rsidR="00885114">
        <w:rPr>
          <w:sz w:val="22"/>
          <w:szCs w:val="22"/>
          <w:lang w:val="en-US" w:eastAsia="ko-KR"/>
        </w:rPr>
        <w:t xml:space="preserve"> NTN </w:t>
      </w:r>
      <w:r w:rsidR="005422FB" w:rsidRPr="000B4ADF">
        <w:rPr>
          <w:sz w:val="22"/>
          <w:szCs w:val="22"/>
          <w:lang w:val="en-US" w:eastAsia="ko-KR"/>
        </w:rPr>
        <w:t>WI</w:t>
      </w:r>
      <w:r w:rsidR="0024648C" w:rsidRPr="000B4ADF">
        <w:rPr>
          <w:sz w:val="22"/>
          <w:szCs w:val="22"/>
          <w:lang w:val="en-US" w:eastAsia="ko-KR"/>
        </w:rPr>
        <w:t xml:space="preserve"> aims to specify the enhancements identified for NR NTN especially LEO and GEO with implicit compatibility to support HAPS (high altitude platform station) and ATG (air to ground) scenarios according to the following principles:</w:t>
      </w:r>
    </w:p>
    <w:p w14:paraId="35214637" w14:textId="5CF62731"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FDD is assumed for core specification work for NR-NTN.</w:t>
      </w:r>
    </w:p>
    <w:p w14:paraId="588F6C6B" w14:textId="2FCA0CAF" w:rsidR="0024648C" w:rsidRPr="000B4ADF" w:rsidRDefault="0024648C" w:rsidP="00D85ABA">
      <w:pPr>
        <w:pStyle w:val="ListParagraph"/>
        <w:numPr>
          <w:ilvl w:val="1"/>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NOTE: This does not imply that TDD cannot be used for relevant scenarios e.g. HAPS, ATG</w:t>
      </w:r>
    </w:p>
    <w:p w14:paraId="113F26CE" w14:textId="314C2050"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Earth fixed Tracking area is assumed with Earth fixed and moving cells</w:t>
      </w:r>
    </w:p>
    <w:p w14:paraId="18E13703" w14:textId="4728079E" w:rsidR="00295D22"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UEs with GNSS capabilities are assumed.</w:t>
      </w:r>
    </w:p>
    <w:p w14:paraId="65B9244B" w14:textId="7FF5BF0D" w:rsidR="00D85ABA" w:rsidRPr="000B4ADF" w:rsidRDefault="004926EF" w:rsidP="00D85ABA">
      <w:pPr>
        <w:snapToGrid w:val="0"/>
        <w:spacing w:before="240" w:after="120"/>
        <w:ind w:right="-99"/>
        <w:jc w:val="both"/>
        <w:rPr>
          <w:sz w:val="22"/>
          <w:szCs w:val="22"/>
          <w:lang w:eastAsia="ko-KR"/>
        </w:rPr>
      </w:pPr>
      <w:r w:rsidRPr="000B4ADF">
        <w:rPr>
          <w:sz w:val="22"/>
          <w:szCs w:val="22"/>
          <w:lang w:eastAsia="ko-KR"/>
        </w:rPr>
        <w:t xml:space="preserve">According to the </w:t>
      </w:r>
      <w:r w:rsidR="00521070" w:rsidRPr="00521070">
        <w:rPr>
          <w:sz w:val="22"/>
          <w:szCs w:val="22"/>
          <w:lang w:eastAsia="ko-KR"/>
        </w:rPr>
        <w:t xml:space="preserve">3GPP TR 38.821 </w:t>
      </w:r>
      <w:r w:rsidRPr="000B4ADF">
        <w:rPr>
          <w:sz w:val="22"/>
          <w:szCs w:val="22"/>
          <w:lang w:eastAsia="ko-KR"/>
        </w:rPr>
        <w:t>[2] there are some issues to support NTN with 5G NR due to long propagation delays, large Doppler effects, and moving cells</w:t>
      </w:r>
      <w:r w:rsidR="001E181F" w:rsidRPr="000B4ADF">
        <w:rPr>
          <w:sz w:val="22"/>
          <w:szCs w:val="22"/>
          <w:lang w:eastAsia="ko-KR"/>
        </w:rPr>
        <w:t xml:space="preserve">. One of the main challenges for NTN to operate is UL time and frequency synchronization. In this contribution aspects related to UL time and frequency synchronization are discussed considering principles identified in [1]. </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25D98660" w14:textId="242BDFC1" w:rsidR="00FF7EC9" w:rsidRDefault="00954D74" w:rsidP="000028F2">
      <w:pPr>
        <w:tabs>
          <w:tab w:val="left" w:pos="2552"/>
          <w:tab w:val="left" w:pos="9781"/>
        </w:tabs>
        <w:spacing w:after="240" w:line="276" w:lineRule="auto"/>
        <w:jc w:val="both"/>
        <w:rPr>
          <w:sz w:val="22"/>
          <w:szCs w:val="22"/>
        </w:rPr>
      </w:pPr>
      <w:r>
        <w:rPr>
          <w:sz w:val="22"/>
          <w:szCs w:val="22"/>
        </w:rPr>
        <w:t xml:space="preserve">Due to large </w:t>
      </w:r>
      <w:r w:rsidR="00D56533">
        <w:rPr>
          <w:sz w:val="22"/>
          <w:szCs w:val="22"/>
        </w:rPr>
        <w:t>distance and velocity values of</w:t>
      </w:r>
      <w:r>
        <w:rPr>
          <w:sz w:val="22"/>
          <w:szCs w:val="22"/>
        </w:rPr>
        <w:t xml:space="preserve"> NTN, UL signal (e.g. PRACH) at the gNB receiver may experience large time shift and frequency offset. </w:t>
      </w:r>
      <w:r w:rsidR="005A664F">
        <w:rPr>
          <w:sz w:val="22"/>
          <w:szCs w:val="22"/>
        </w:rPr>
        <w:t>For service link v</w:t>
      </w:r>
      <w:r>
        <w:rPr>
          <w:sz w:val="22"/>
          <w:szCs w:val="22"/>
        </w:rPr>
        <w:t xml:space="preserve">alue of the </w:t>
      </w:r>
      <w:r w:rsidRPr="00135333">
        <w:rPr>
          <w:sz w:val="22"/>
          <w:szCs w:val="22"/>
        </w:rPr>
        <w:t xml:space="preserve">time </w:t>
      </w:r>
      <w:r>
        <w:rPr>
          <w:sz w:val="22"/>
          <w:szCs w:val="22"/>
        </w:rPr>
        <w:t>shift</w:t>
      </w:r>
      <w:r w:rsidRPr="00135333">
        <w:rPr>
          <w:sz w:val="22"/>
          <w:szCs w:val="22"/>
        </w:rPr>
        <w:t xml:space="preserve"> </w:t>
      </w:r>
      <w:r>
        <w:rPr>
          <w:sz w:val="22"/>
          <w:szCs w:val="22"/>
        </w:rPr>
        <w:t xml:space="preserve">is determined by the distance between the UE and the satellite, </w:t>
      </w:r>
      <w:r w:rsidRPr="00135333">
        <w:rPr>
          <w:sz w:val="22"/>
          <w:szCs w:val="22"/>
        </w:rPr>
        <w:t xml:space="preserve">value of the </w:t>
      </w:r>
      <w:r>
        <w:rPr>
          <w:sz w:val="22"/>
          <w:szCs w:val="22"/>
        </w:rPr>
        <w:t>frequency offset</w:t>
      </w:r>
      <w:r w:rsidRPr="00135333">
        <w:rPr>
          <w:sz w:val="22"/>
          <w:szCs w:val="22"/>
        </w:rPr>
        <w:t xml:space="preserve"> </w:t>
      </w:r>
      <w:r>
        <w:rPr>
          <w:sz w:val="22"/>
          <w:szCs w:val="22"/>
        </w:rPr>
        <w:t>is</w:t>
      </w:r>
      <w:r w:rsidRPr="00135333">
        <w:rPr>
          <w:sz w:val="22"/>
          <w:szCs w:val="22"/>
        </w:rPr>
        <w:t xml:space="preserve"> determined by the </w:t>
      </w:r>
      <w:r>
        <w:rPr>
          <w:sz w:val="22"/>
          <w:szCs w:val="22"/>
        </w:rPr>
        <w:t>relative radial speed of the UE and the satellite. Since there are multiple UEs served by a single beam from the satellite, the values of the t</w:t>
      </w:r>
      <w:r w:rsidRPr="00E7677D">
        <w:rPr>
          <w:sz w:val="22"/>
          <w:szCs w:val="22"/>
        </w:rPr>
        <w:t xml:space="preserve">ime </w:t>
      </w:r>
      <w:r>
        <w:rPr>
          <w:sz w:val="22"/>
          <w:szCs w:val="22"/>
        </w:rPr>
        <w:t>shift</w:t>
      </w:r>
      <w:r w:rsidRPr="00E7677D">
        <w:rPr>
          <w:sz w:val="22"/>
          <w:szCs w:val="22"/>
        </w:rPr>
        <w:t xml:space="preserve"> and frequency </w:t>
      </w:r>
      <w:r>
        <w:rPr>
          <w:sz w:val="22"/>
          <w:szCs w:val="22"/>
        </w:rPr>
        <w:t>offset for a UE can be represented as sum of the beam-specific</w:t>
      </w:r>
      <w:r w:rsidR="00943B43">
        <w:rPr>
          <w:sz w:val="22"/>
          <w:szCs w:val="22"/>
        </w:rPr>
        <w:t xml:space="preserve"> (or cell-specific)</w:t>
      </w:r>
      <w:r>
        <w:rPr>
          <w:sz w:val="22"/>
          <w:szCs w:val="22"/>
        </w:rPr>
        <w:t xml:space="preserve"> part and UE-specific part. The exact values of </w:t>
      </w:r>
      <w:bookmarkStart w:id="0" w:name="_Hlk46143435"/>
      <w:r>
        <w:rPr>
          <w:sz w:val="22"/>
          <w:szCs w:val="22"/>
        </w:rPr>
        <w:t>beam-specific t</w:t>
      </w:r>
      <w:r w:rsidRPr="00C50B73">
        <w:rPr>
          <w:sz w:val="22"/>
          <w:szCs w:val="22"/>
        </w:rPr>
        <w:t xml:space="preserve">ime and frequency </w:t>
      </w:r>
      <w:r>
        <w:rPr>
          <w:sz w:val="22"/>
          <w:szCs w:val="22"/>
        </w:rPr>
        <w:t xml:space="preserve">offset </w:t>
      </w:r>
      <w:bookmarkEnd w:id="0"/>
      <w:r>
        <w:rPr>
          <w:sz w:val="22"/>
          <w:szCs w:val="22"/>
        </w:rPr>
        <w:t xml:space="preserve">can be defined in different way (e.g. depending on the location of the reference point (RP) for </w:t>
      </w:r>
      <w:r w:rsidRPr="00C50B73">
        <w:rPr>
          <w:sz w:val="22"/>
          <w:szCs w:val="22"/>
        </w:rPr>
        <w:t xml:space="preserve">beam-specific </w:t>
      </w:r>
      <w:r>
        <w:rPr>
          <w:sz w:val="22"/>
          <w:szCs w:val="22"/>
        </w:rPr>
        <w:t>t</w:t>
      </w:r>
      <w:r w:rsidRPr="00C50B73">
        <w:rPr>
          <w:sz w:val="22"/>
          <w:szCs w:val="22"/>
        </w:rPr>
        <w:t xml:space="preserve">ime </w:t>
      </w:r>
      <w:r>
        <w:rPr>
          <w:sz w:val="22"/>
          <w:szCs w:val="22"/>
        </w:rPr>
        <w:t>shift</w:t>
      </w:r>
      <w:r w:rsidRPr="00C50B73">
        <w:rPr>
          <w:sz w:val="22"/>
          <w:szCs w:val="22"/>
        </w:rPr>
        <w:t xml:space="preserve"> and frequency </w:t>
      </w:r>
      <w:r>
        <w:rPr>
          <w:sz w:val="22"/>
          <w:szCs w:val="22"/>
        </w:rPr>
        <w:t>offset calculation). Beam-specific and UE-specific time and frequency offset determination is schematically represented in figure 1.</w:t>
      </w:r>
    </w:p>
    <w:p w14:paraId="17D0DF8E" w14:textId="1E118AFF" w:rsidR="00954D74" w:rsidRDefault="00954D74" w:rsidP="00954D74">
      <w:pPr>
        <w:tabs>
          <w:tab w:val="left" w:pos="2552"/>
          <w:tab w:val="left" w:pos="9781"/>
        </w:tabs>
        <w:spacing w:after="240" w:line="276" w:lineRule="auto"/>
        <w:jc w:val="center"/>
      </w:pPr>
      <w:r>
        <w:object w:dxaOrig="7333" w:dyaOrig="7465" w14:anchorId="03045D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8pt;height:272.75pt" o:ole="">
            <v:imagedata r:id="rId11" o:title=""/>
          </v:shape>
          <o:OLEObject Type="Embed" ProgID="Visio.Drawing.15" ShapeID="_x0000_i1025" DrawAspect="Content" ObjectID="_1665033090" r:id="rId12"/>
        </w:object>
      </w:r>
    </w:p>
    <w:p w14:paraId="6377FC76" w14:textId="77777777" w:rsidR="00954D74" w:rsidRDefault="00954D74" w:rsidP="00954D74">
      <w:pPr>
        <w:jc w:val="center"/>
        <w:rPr>
          <w:sz w:val="22"/>
          <w:szCs w:val="22"/>
        </w:rPr>
      </w:pPr>
      <w:r w:rsidRPr="00DD28CE">
        <w:rPr>
          <w:b/>
          <w:bCs/>
          <w:sz w:val="22"/>
          <w:szCs w:val="22"/>
        </w:rPr>
        <w:t>Figure 1</w:t>
      </w:r>
      <w:r w:rsidRPr="00E428BB">
        <w:rPr>
          <w:sz w:val="22"/>
          <w:szCs w:val="22"/>
        </w:rPr>
        <w:t xml:space="preserve">. </w:t>
      </w:r>
      <w:r w:rsidRPr="00E27829">
        <w:rPr>
          <w:sz w:val="22"/>
          <w:szCs w:val="22"/>
        </w:rPr>
        <w:t xml:space="preserve">Beam-specific and UE-specific time </w:t>
      </w:r>
      <w:r>
        <w:rPr>
          <w:sz w:val="22"/>
          <w:szCs w:val="22"/>
        </w:rPr>
        <w:t>shift</w:t>
      </w:r>
      <w:r w:rsidRPr="00E27829">
        <w:rPr>
          <w:sz w:val="22"/>
          <w:szCs w:val="22"/>
        </w:rPr>
        <w:t xml:space="preserve"> and frequency </w:t>
      </w:r>
      <w:r>
        <w:rPr>
          <w:sz w:val="22"/>
          <w:szCs w:val="22"/>
        </w:rPr>
        <w:t>offset</w:t>
      </w:r>
      <w:r w:rsidRPr="00E27829">
        <w:rPr>
          <w:sz w:val="22"/>
          <w:szCs w:val="22"/>
        </w:rPr>
        <w:t xml:space="preserve"> determination</w:t>
      </w:r>
    </w:p>
    <w:p w14:paraId="2670C53A" w14:textId="72C2F397" w:rsidR="003A5D99" w:rsidRDefault="00D13E89" w:rsidP="00D13E89">
      <w:pPr>
        <w:tabs>
          <w:tab w:val="left" w:pos="2552"/>
          <w:tab w:val="left" w:pos="9781"/>
        </w:tabs>
        <w:spacing w:after="240" w:line="276" w:lineRule="auto"/>
        <w:jc w:val="both"/>
        <w:rPr>
          <w:iCs/>
          <w:sz w:val="22"/>
          <w:szCs w:val="22"/>
        </w:rPr>
      </w:pPr>
      <w:r>
        <w:rPr>
          <w:iCs/>
          <w:sz w:val="22"/>
          <w:szCs w:val="22"/>
        </w:rPr>
        <w:t xml:space="preserve">DL synchronization procedure may be more complex for NTN comparing to terrestrial networks due to larger frequency uncertainty. This frequency uncertainty </w:t>
      </w:r>
      <w:r w:rsidR="00E32B02">
        <w:rPr>
          <w:iCs/>
          <w:sz w:val="22"/>
          <w:szCs w:val="22"/>
        </w:rPr>
        <w:t xml:space="preserve">and </w:t>
      </w:r>
      <w:r>
        <w:rPr>
          <w:iCs/>
          <w:sz w:val="22"/>
          <w:szCs w:val="22"/>
        </w:rPr>
        <w:t xml:space="preserve">UE complexity for DL synchronisation can be reduced by applying pre-compensation of beam-specific or cell-specific frequency offset for DL transmission at the gNB side. </w:t>
      </w:r>
      <w:r w:rsidR="003A5D99">
        <w:rPr>
          <w:iCs/>
          <w:sz w:val="22"/>
          <w:szCs w:val="22"/>
        </w:rPr>
        <w:t>Such possibility for beam-specific or cell-specific frequency offset pre-compensation for DL should be considered</w:t>
      </w:r>
      <w:r w:rsidR="000F078C">
        <w:rPr>
          <w:iCs/>
          <w:sz w:val="22"/>
          <w:szCs w:val="22"/>
        </w:rPr>
        <w:t xml:space="preserve"> for UL synchroni</w:t>
      </w:r>
      <w:r w:rsidR="00465ADC">
        <w:rPr>
          <w:iCs/>
          <w:sz w:val="22"/>
          <w:szCs w:val="22"/>
        </w:rPr>
        <w:t>z</w:t>
      </w:r>
      <w:r w:rsidR="000F078C">
        <w:rPr>
          <w:iCs/>
          <w:sz w:val="22"/>
          <w:szCs w:val="22"/>
        </w:rPr>
        <w:t>ation</w:t>
      </w:r>
      <w:r w:rsidR="003A5D99">
        <w:rPr>
          <w:iCs/>
          <w:sz w:val="22"/>
          <w:szCs w:val="22"/>
        </w:rPr>
        <w:t xml:space="preserve"> to avoid potential misalignment of UL carrier frequency expected at the gNB receiver. </w:t>
      </w:r>
    </w:p>
    <w:p w14:paraId="516FE883" w14:textId="68FC66A3" w:rsidR="003A5D99" w:rsidRDefault="003A5D99" w:rsidP="00D13E89">
      <w:pPr>
        <w:tabs>
          <w:tab w:val="left" w:pos="2552"/>
          <w:tab w:val="left" w:pos="9781"/>
        </w:tabs>
        <w:spacing w:after="240" w:line="276" w:lineRule="auto"/>
        <w:jc w:val="both"/>
        <w:rPr>
          <w:iCs/>
          <w:sz w:val="22"/>
          <w:szCs w:val="22"/>
        </w:rPr>
      </w:pPr>
      <w:r>
        <w:rPr>
          <w:iCs/>
          <w:sz w:val="22"/>
          <w:szCs w:val="22"/>
        </w:rPr>
        <w:t>For the UEs with pre-compensation of time and frequency offset for UL transmission it is assumed that UE synchronises internal clock to received DL carrier frequency measured from DL synchronization signals. For UL transmission such UEs applies additional frequency offset which corresponds to the projection of satellite velocity to UE-satellite direction. Frequency diagram for this case is schematically represented in the below figure</w:t>
      </w:r>
      <w:r w:rsidR="00CC6CE5">
        <w:rPr>
          <w:iCs/>
          <w:sz w:val="22"/>
          <w:szCs w:val="22"/>
        </w:rPr>
        <w:t xml:space="preserve">. </w:t>
      </w:r>
    </w:p>
    <w:p w14:paraId="1512EDCC" w14:textId="74E3CD8B" w:rsidR="00584886" w:rsidRDefault="00584886" w:rsidP="00584886">
      <w:pPr>
        <w:tabs>
          <w:tab w:val="left" w:pos="2552"/>
          <w:tab w:val="left" w:pos="9781"/>
        </w:tabs>
        <w:spacing w:after="240" w:line="276" w:lineRule="auto"/>
        <w:jc w:val="center"/>
      </w:pPr>
      <w:r>
        <w:object w:dxaOrig="5424" w:dyaOrig="3733" w14:anchorId="464ECA47">
          <v:shape id="_x0000_i1026" type="#_x0000_t75" style="width:359.45pt;height:247.1pt" o:ole="">
            <v:imagedata r:id="rId13" o:title=""/>
          </v:shape>
          <o:OLEObject Type="Embed" ProgID="Visio.Drawing.15" ShapeID="_x0000_i1026" DrawAspect="Content" ObjectID="_1665033091" r:id="rId14"/>
        </w:object>
      </w:r>
    </w:p>
    <w:p w14:paraId="6251441B" w14:textId="69517767" w:rsidR="00584886" w:rsidRPr="0051632A" w:rsidRDefault="0051632A" w:rsidP="0051632A">
      <w:pPr>
        <w:jc w:val="center"/>
        <w:rPr>
          <w:sz w:val="22"/>
          <w:szCs w:val="22"/>
        </w:rPr>
      </w:pPr>
      <w:r w:rsidRPr="00DD28CE">
        <w:rPr>
          <w:b/>
          <w:bCs/>
          <w:sz w:val="22"/>
          <w:szCs w:val="22"/>
        </w:rPr>
        <w:t xml:space="preserve">Figure </w:t>
      </w:r>
      <w:r w:rsidR="00C20E60">
        <w:rPr>
          <w:b/>
          <w:bCs/>
          <w:sz w:val="22"/>
          <w:szCs w:val="22"/>
        </w:rPr>
        <w:t>2</w:t>
      </w:r>
      <w:r w:rsidRPr="00E428BB">
        <w:rPr>
          <w:sz w:val="22"/>
          <w:szCs w:val="22"/>
        </w:rPr>
        <w:t xml:space="preserve">. </w:t>
      </w:r>
      <w:r w:rsidRPr="0051632A">
        <w:rPr>
          <w:sz w:val="22"/>
          <w:szCs w:val="22"/>
        </w:rPr>
        <w:t xml:space="preserve">Frequency diagram </w:t>
      </w:r>
      <w:r>
        <w:rPr>
          <w:sz w:val="22"/>
          <w:szCs w:val="22"/>
        </w:rPr>
        <w:t>assuming pre-compensation of frequency offset at the UE and compensation of common</w:t>
      </w:r>
      <w:r w:rsidR="00080AFF">
        <w:rPr>
          <w:sz w:val="22"/>
          <w:szCs w:val="22"/>
        </w:rPr>
        <w:t xml:space="preserve"> (beam-specific or cell-specific)</w:t>
      </w:r>
      <w:r>
        <w:rPr>
          <w:sz w:val="22"/>
          <w:szCs w:val="22"/>
        </w:rPr>
        <w:t xml:space="preserve"> frequency offset at the gNB</w:t>
      </w:r>
    </w:p>
    <w:p w14:paraId="6262A348" w14:textId="1B7AB030" w:rsidR="00584886" w:rsidRDefault="009D6F40" w:rsidP="00675E76">
      <w:pPr>
        <w:tabs>
          <w:tab w:val="left" w:pos="2552"/>
          <w:tab w:val="left" w:pos="9781"/>
        </w:tabs>
        <w:spacing w:after="240" w:line="276" w:lineRule="auto"/>
        <w:jc w:val="both"/>
        <w:rPr>
          <w:sz w:val="22"/>
          <w:szCs w:val="22"/>
        </w:rPr>
      </w:pPr>
      <w:r>
        <w:rPr>
          <w:sz w:val="22"/>
          <w:szCs w:val="22"/>
        </w:rPr>
        <w:t xml:space="preserve">As it can be seen from the above figure, for the case where </w:t>
      </w:r>
      <w:r w:rsidRPr="009D6F40">
        <w:rPr>
          <w:sz w:val="22"/>
          <w:szCs w:val="22"/>
        </w:rPr>
        <w:t>pre-compensation of frequency offset</w:t>
      </w:r>
      <w:r>
        <w:rPr>
          <w:sz w:val="22"/>
          <w:szCs w:val="22"/>
        </w:rPr>
        <w:t xml:space="preserve"> is done</w:t>
      </w:r>
      <w:r w:rsidRPr="009D6F40">
        <w:rPr>
          <w:sz w:val="22"/>
          <w:szCs w:val="22"/>
        </w:rPr>
        <w:t xml:space="preserve"> at the UE and compensation of common (beam-specific or cell-specific) frequency offset </w:t>
      </w:r>
      <w:r>
        <w:rPr>
          <w:sz w:val="22"/>
          <w:szCs w:val="22"/>
        </w:rPr>
        <w:t xml:space="preserve">is done </w:t>
      </w:r>
      <w:r w:rsidRPr="009D6F40">
        <w:rPr>
          <w:sz w:val="22"/>
          <w:szCs w:val="22"/>
        </w:rPr>
        <w:t>at the gNB</w:t>
      </w:r>
      <w:r>
        <w:rPr>
          <w:sz w:val="22"/>
          <w:szCs w:val="22"/>
        </w:rPr>
        <w:t xml:space="preserve"> the UL carrier frequency at the gNB receiver is aligned with the expected value. Thus, indication of frequency offset value pre-compensated for DL transmission at the gNB side is not needed for UL synchronisation. </w:t>
      </w:r>
    </w:p>
    <w:p w14:paraId="4CC5DAA5" w14:textId="7A120D24" w:rsidR="009D6F40" w:rsidRDefault="009D6F40" w:rsidP="009D6F40">
      <w:pPr>
        <w:tabs>
          <w:tab w:val="left" w:pos="2552"/>
          <w:tab w:val="left" w:pos="9781"/>
        </w:tabs>
        <w:spacing w:after="240" w:line="276" w:lineRule="auto"/>
        <w:rPr>
          <w:sz w:val="22"/>
          <w:szCs w:val="22"/>
        </w:rPr>
      </w:pPr>
      <w:r w:rsidRPr="009D6F40">
        <w:rPr>
          <w:b/>
          <w:bCs/>
          <w:i/>
          <w:iCs/>
          <w:sz w:val="22"/>
          <w:szCs w:val="22"/>
        </w:rPr>
        <w:t>Observation 1</w:t>
      </w:r>
      <w:r>
        <w:rPr>
          <w:sz w:val="22"/>
          <w:szCs w:val="22"/>
        </w:rPr>
        <w:t xml:space="preserve">: </w:t>
      </w:r>
    </w:p>
    <w:p w14:paraId="553D15AC" w14:textId="1D103EA9" w:rsidR="004D55C3" w:rsidRPr="004D55C3" w:rsidRDefault="004D55C3" w:rsidP="009D6F40">
      <w:pPr>
        <w:pStyle w:val="ListParagraph"/>
        <w:numPr>
          <w:ilvl w:val="0"/>
          <w:numId w:val="29"/>
        </w:numPr>
        <w:tabs>
          <w:tab w:val="left" w:pos="2552"/>
          <w:tab w:val="left" w:pos="9781"/>
        </w:tabs>
        <w:spacing w:after="240" w:line="276" w:lineRule="auto"/>
        <w:rPr>
          <w:rFonts w:ascii="Times New Roman" w:hAnsi="Times New Roman"/>
          <w:i/>
        </w:rPr>
      </w:pPr>
      <w:r w:rsidRPr="004D55C3">
        <w:rPr>
          <w:rFonts w:ascii="Times New Roman" w:hAnsi="Times New Roman"/>
          <w:i/>
        </w:rPr>
        <w:t>Compensation of common frequency offset for DL transmission can be done in order to decrease UE complexity for DL frequency synchronization</w:t>
      </w:r>
    </w:p>
    <w:p w14:paraId="218F19C9" w14:textId="20BA701E" w:rsidR="009D6F40" w:rsidRDefault="009D6F40" w:rsidP="004D55C3">
      <w:pPr>
        <w:pStyle w:val="ListParagraph"/>
        <w:numPr>
          <w:ilvl w:val="1"/>
          <w:numId w:val="29"/>
        </w:numPr>
        <w:tabs>
          <w:tab w:val="left" w:pos="2552"/>
          <w:tab w:val="left" w:pos="9781"/>
        </w:tabs>
        <w:spacing w:after="240" w:line="276" w:lineRule="auto"/>
        <w:rPr>
          <w:rFonts w:ascii="Times New Roman" w:hAnsi="Times New Roman"/>
          <w:i/>
        </w:rPr>
      </w:pPr>
      <w:r w:rsidRPr="004D55C3">
        <w:rPr>
          <w:rFonts w:ascii="Times New Roman" w:hAnsi="Times New Roman"/>
          <w:i/>
        </w:rPr>
        <w:t>Indication of frequency offset value pre-compensated for DL transmission at the gNB side is not needed for UL synchronization</w:t>
      </w:r>
    </w:p>
    <w:p w14:paraId="2B6BE094" w14:textId="09A407E3" w:rsidR="008075F9" w:rsidRDefault="00991864" w:rsidP="00991864">
      <w:pPr>
        <w:tabs>
          <w:tab w:val="left" w:pos="2552"/>
          <w:tab w:val="left" w:pos="9781"/>
        </w:tabs>
        <w:spacing w:after="240" w:line="276" w:lineRule="auto"/>
        <w:jc w:val="both"/>
        <w:rPr>
          <w:iCs/>
          <w:sz w:val="22"/>
          <w:szCs w:val="22"/>
        </w:rPr>
      </w:pPr>
      <w:r>
        <w:rPr>
          <w:iCs/>
          <w:sz w:val="22"/>
          <w:szCs w:val="22"/>
        </w:rPr>
        <w:t xml:space="preserve">Frequency shift due to signal propagation in feeder link can be fully compensated by the gateway or gNB without any impact on physical layer procedures. However, </w:t>
      </w:r>
      <w:r w:rsidR="001E1F43">
        <w:rPr>
          <w:iCs/>
          <w:sz w:val="22"/>
          <w:szCs w:val="22"/>
        </w:rPr>
        <w:t>there is some impact from the feeder link propagation delay for MAC CE action timing which is discussed in our contribution [3].</w:t>
      </w:r>
      <w:r w:rsidR="00B657FF">
        <w:rPr>
          <w:iCs/>
          <w:sz w:val="22"/>
          <w:szCs w:val="22"/>
        </w:rPr>
        <w:t xml:space="preserve"> For other physical layer procedures there is no impact from feeder link delay. For example, </w:t>
      </w:r>
      <w:bookmarkStart w:id="1" w:name="_GoBack"/>
      <w:bookmarkEnd w:id="1"/>
      <w:r w:rsidR="00B657FF">
        <w:rPr>
          <w:iCs/>
          <w:sz w:val="22"/>
          <w:szCs w:val="22"/>
        </w:rPr>
        <w:t>additional timing corresponding to feeder link delay is applied for PUSCH reception as it is illustrated in figure 3. This additional timing offset is known at the gNB and common for all the UEs, indication of the additional delay applied at the gNB is not needed.</w:t>
      </w:r>
    </w:p>
    <w:p w14:paraId="6C3F0EF7" w14:textId="4F112484" w:rsidR="00991864" w:rsidRDefault="00991864" w:rsidP="00991864">
      <w:pPr>
        <w:tabs>
          <w:tab w:val="left" w:pos="2552"/>
          <w:tab w:val="left" w:pos="9781"/>
        </w:tabs>
        <w:spacing w:after="240" w:line="276" w:lineRule="auto"/>
        <w:jc w:val="center"/>
      </w:pPr>
      <w:r>
        <w:object w:dxaOrig="9660" w:dyaOrig="4717" w14:anchorId="3A957BA6">
          <v:shape id="_x0000_i1027" type="#_x0000_t75" style="width:483.25pt;height:235.65pt" o:ole="">
            <v:imagedata r:id="rId15" o:title=""/>
          </v:shape>
          <o:OLEObject Type="Embed" ProgID="Visio.Drawing.15" ShapeID="_x0000_i1027" DrawAspect="Content" ObjectID="_1665033092" r:id="rId16"/>
        </w:object>
      </w:r>
    </w:p>
    <w:p w14:paraId="5FB2AC93" w14:textId="5A731C29" w:rsidR="00C20E60" w:rsidRDefault="00C20E60" w:rsidP="00991864">
      <w:pPr>
        <w:tabs>
          <w:tab w:val="left" w:pos="2552"/>
          <w:tab w:val="left" w:pos="9781"/>
        </w:tabs>
        <w:spacing w:after="240" w:line="276" w:lineRule="auto"/>
        <w:jc w:val="center"/>
        <w:rPr>
          <w:sz w:val="22"/>
          <w:szCs w:val="22"/>
        </w:rPr>
      </w:pPr>
      <w:r w:rsidRPr="00DD28CE">
        <w:rPr>
          <w:b/>
          <w:bCs/>
          <w:sz w:val="22"/>
          <w:szCs w:val="22"/>
        </w:rPr>
        <w:t xml:space="preserve">Figure </w:t>
      </w:r>
      <w:r>
        <w:rPr>
          <w:b/>
          <w:bCs/>
          <w:sz w:val="22"/>
          <w:szCs w:val="22"/>
        </w:rPr>
        <w:t>3</w:t>
      </w:r>
      <w:r w:rsidRPr="00E428BB">
        <w:rPr>
          <w:sz w:val="22"/>
          <w:szCs w:val="22"/>
        </w:rPr>
        <w:t xml:space="preserve">. </w:t>
      </w:r>
      <w:r>
        <w:rPr>
          <w:sz w:val="22"/>
          <w:szCs w:val="22"/>
        </w:rPr>
        <w:t>Timing diagram for PUSCH transmission</w:t>
      </w:r>
    </w:p>
    <w:p w14:paraId="547458E7" w14:textId="0E60ACD3" w:rsidR="002A58FF" w:rsidRDefault="002A58FF" w:rsidP="002A58FF">
      <w:pPr>
        <w:spacing w:before="240" w:after="240"/>
        <w:jc w:val="both"/>
        <w:rPr>
          <w:sz w:val="22"/>
        </w:rPr>
      </w:pPr>
      <w:r>
        <w:rPr>
          <w:sz w:val="22"/>
        </w:rPr>
        <w:t xml:space="preserve">According to TR38.821 [2], if it is assumed that UE is not capable for </w:t>
      </w:r>
      <w:r w:rsidRPr="00F0193D">
        <w:rPr>
          <w:sz w:val="22"/>
        </w:rPr>
        <w:t>pre-compensation of timing and frequency offset</w:t>
      </w:r>
      <w:r>
        <w:rPr>
          <w:sz w:val="22"/>
        </w:rPr>
        <w:t xml:space="preserve">, enhancements for PRACH, UL timing advance (TA) and UL frequency synchronisation are needed which require significant specification efforts. Thus, justification is needed to show that the support for UEs not capable of </w:t>
      </w:r>
      <w:r w:rsidRPr="00F0193D">
        <w:rPr>
          <w:sz w:val="22"/>
        </w:rPr>
        <w:t>pre-compensation of timing and frequency offset</w:t>
      </w:r>
      <w:r>
        <w:rPr>
          <w:sz w:val="22"/>
        </w:rPr>
        <w:t xml:space="preserve"> is necessary.</w:t>
      </w:r>
    </w:p>
    <w:p w14:paraId="63633726" w14:textId="63EE1685" w:rsidR="002A58FF" w:rsidRDefault="002A58FF" w:rsidP="0045576F">
      <w:pPr>
        <w:spacing w:before="240" w:after="240"/>
        <w:jc w:val="both"/>
        <w:rPr>
          <w:sz w:val="22"/>
        </w:rPr>
      </w:pPr>
      <w:r>
        <w:rPr>
          <w:sz w:val="22"/>
        </w:rPr>
        <w:t>From the system perspective, support of UEs without pre-compensation capabilities of</w:t>
      </w:r>
      <w:r w:rsidRPr="00E610C0">
        <w:rPr>
          <w:sz w:val="22"/>
        </w:rPr>
        <w:t xml:space="preserve"> </w:t>
      </w:r>
      <w:r w:rsidRPr="00DF7965">
        <w:rPr>
          <w:sz w:val="22"/>
        </w:rPr>
        <w:t>timing and frequency offset</w:t>
      </w:r>
      <w:r>
        <w:rPr>
          <w:sz w:val="22"/>
        </w:rPr>
        <w:t xml:space="preserve"> requires significant changes in processing algorithms (e.g. PRACH receiver, UL </w:t>
      </w:r>
      <w:r w:rsidRPr="00DF7965">
        <w:rPr>
          <w:sz w:val="22"/>
        </w:rPr>
        <w:t>timing and frequency offset</w:t>
      </w:r>
      <w:r>
        <w:rPr>
          <w:sz w:val="22"/>
        </w:rPr>
        <w:t xml:space="preserve"> maintenance). Moreover, support of such UEs require additional overhead since the time span of PRACH reception window should follow maximum differential delay value in the cell (up to 10.3 ms for GEO and 3.18 ms for LEO [2]). Considering feeder link switch, frequent handovers and large number of UEs in a cell for NTN, the performance of the system which supports UEs without pre-compensation capabilities is expected to be worse comparing to the system which supports only UEs with pre-compensation due to PRACH overhead and overhead for indication of timing and frequency offset values. </w:t>
      </w:r>
    </w:p>
    <w:p w14:paraId="70478631" w14:textId="36934567" w:rsidR="002A58FF" w:rsidRDefault="002A58FF" w:rsidP="002A58FF">
      <w:pPr>
        <w:spacing w:before="240" w:after="240"/>
        <w:jc w:val="both"/>
        <w:rPr>
          <w:sz w:val="22"/>
        </w:rPr>
      </w:pPr>
      <w:r w:rsidRPr="005C4B8C">
        <w:rPr>
          <w:b/>
          <w:i/>
          <w:sz w:val="22"/>
        </w:rPr>
        <w:t xml:space="preserve">Observation </w:t>
      </w:r>
      <w:r w:rsidR="0066655A">
        <w:rPr>
          <w:b/>
          <w:i/>
          <w:sz w:val="22"/>
        </w:rPr>
        <w:t>2</w:t>
      </w:r>
      <w:r>
        <w:rPr>
          <w:sz w:val="22"/>
        </w:rPr>
        <w:t xml:space="preserve">: </w:t>
      </w:r>
    </w:p>
    <w:p w14:paraId="02F3FA65" w14:textId="77777777" w:rsidR="002A58FF" w:rsidRPr="000E4817" w:rsidRDefault="002A58FF" w:rsidP="002A58FF">
      <w:pPr>
        <w:pStyle w:val="ListParagraph"/>
        <w:numPr>
          <w:ilvl w:val="0"/>
          <w:numId w:val="31"/>
        </w:numPr>
        <w:spacing w:before="240" w:after="240"/>
        <w:jc w:val="both"/>
        <w:rPr>
          <w:rFonts w:ascii="Times New Roman" w:hAnsi="Times New Roman"/>
          <w:i/>
        </w:rPr>
      </w:pPr>
      <w:r>
        <w:rPr>
          <w:rFonts w:ascii="Times New Roman" w:hAnsi="Times New Roman"/>
          <w:i/>
        </w:rPr>
        <w:t xml:space="preserve">Support for UEs </w:t>
      </w:r>
      <w:r w:rsidRPr="00802733">
        <w:rPr>
          <w:rFonts w:ascii="Times New Roman" w:hAnsi="Times New Roman"/>
          <w:i/>
        </w:rPr>
        <w:t>without pre-compensation</w:t>
      </w:r>
      <w:r w:rsidRPr="00802733">
        <w:t xml:space="preserve"> </w:t>
      </w:r>
      <w:r w:rsidRPr="00802733">
        <w:rPr>
          <w:rFonts w:ascii="Times New Roman" w:hAnsi="Times New Roman"/>
          <w:i/>
        </w:rPr>
        <w:t>of timing and frequency offset capabilities</w:t>
      </w:r>
      <w:r>
        <w:rPr>
          <w:rFonts w:ascii="Times New Roman" w:hAnsi="Times New Roman"/>
          <w:i/>
        </w:rPr>
        <w:t xml:space="preserve"> is not desirable from system performance perspective</w:t>
      </w:r>
    </w:p>
    <w:p w14:paraId="0AF8E39D" w14:textId="77777777" w:rsidR="002A58FF" w:rsidRDefault="002A58FF" w:rsidP="002A58FF">
      <w:pPr>
        <w:spacing w:before="240" w:after="240"/>
        <w:jc w:val="both"/>
        <w:rPr>
          <w:sz w:val="22"/>
        </w:rPr>
      </w:pPr>
      <w:r w:rsidRPr="003A1642">
        <w:rPr>
          <w:b/>
          <w:i/>
          <w:sz w:val="22"/>
        </w:rPr>
        <w:t>Proposal 1</w:t>
      </w:r>
      <w:r>
        <w:rPr>
          <w:sz w:val="22"/>
        </w:rPr>
        <w:t>:</w:t>
      </w:r>
    </w:p>
    <w:p w14:paraId="0D0C3C58" w14:textId="58CA0BFE" w:rsidR="002A58FF" w:rsidRPr="002A58FF" w:rsidRDefault="002A58FF" w:rsidP="002A58FF">
      <w:pPr>
        <w:pStyle w:val="ListParagraph"/>
        <w:numPr>
          <w:ilvl w:val="0"/>
          <w:numId w:val="30"/>
        </w:numPr>
        <w:spacing w:before="240" w:after="240"/>
        <w:jc w:val="both"/>
        <w:rPr>
          <w:rFonts w:ascii="Times New Roman" w:hAnsi="Times New Roman"/>
          <w:i/>
        </w:rPr>
      </w:pPr>
      <w:r w:rsidRPr="003A1642">
        <w:rPr>
          <w:rFonts w:ascii="Times New Roman" w:hAnsi="Times New Roman"/>
          <w:i/>
        </w:rPr>
        <w:t xml:space="preserve">UEs without pre-compensation of time and frequency </w:t>
      </w:r>
      <w:r>
        <w:rPr>
          <w:rFonts w:ascii="Times New Roman" w:hAnsi="Times New Roman"/>
          <w:i/>
        </w:rPr>
        <w:t>offset</w:t>
      </w:r>
      <w:r w:rsidRPr="003A1642">
        <w:rPr>
          <w:rFonts w:ascii="Times New Roman" w:hAnsi="Times New Roman"/>
          <w:i/>
        </w:rPr>
        <w:t xml:space="preserve"> capabilities are not considered </w:t>
      </w:r>
      <w:r>
        <w:rPr>
          <w:rFonts w:ascii="Times New Roman" w:hAnsi="Times New Roman"/>
          <w:i/>
        </w:rPr>
        <w:t>for the NTN WI</w:t>
      </w:r>
    </w:p>
    <w:p w14:paraId="6ACA37CF" w14:textId="77777777"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203CF631" w14:textId="2067BDA1" w:rsidR="00E17F6E" w:rsidRDefault="00E17F6E" w:rsidP="00C73CBB">
      <w:pPr>
        <w:jc w:val="both"/>
        <w:rPr>
          <w:sz w:val="22"/>
          <w:szCs w:val="22"/>
        </w:rPr>
      </w:pPr>
      <w:r w:rsidRPr="000B4ADF">
        <w:rPr>
          <w:sz w:val="22"/>
          <w:szCs w:val="22"/>
          <w:lang w:eastAsia="ko-KR"/>
        </w:rPr>
        <w:t xml:space="preserve">In this contribution aspects related to UL time and frequency synchronization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following proposals and observations are made.</w:t>
      </w:r>
    </w:p>
    <w:p w14:paraId="2E42A2A1" w14:textId="77777777" w:rsidR="002F2D40" w:rsidRDefault="002F2D40" w:rsidP="002F2D40">
      <w:pPr>
        <w:tabs>
          <w:tab w:val="left" w:pos="2552"/>
          <w:tab w:val="left" w:pos="9781"/>
        </w:tabs>
        <w:spacing w:after="240" w:line="276" w:lineRule="auto"/>
        <w:rPr>
          <w:sz w:val="22"/>
          <w:szCs w:val="22"/>
        </w:rPr>
      </w:pPr>
      <w:r w:rsidRPr="009D6F40">
        <w:rPr>
          <w:b/>
          <w:bCs/>
          <w:i/>
          <w:iCs/>
          <w:sz w:val="22"/>
          <w:szCs w:val="22"/>
        </w:rPr>
        <w:t>Observation 1</w:t>
      </w:r>
      <w:r>
        <w:rPr>
          <w:sz w:val="22"/>
          <w:szCs w:val="22"/>
        </w:rPr>
        <w:t xml:space="preserve">: </w:t>
      </w:r>
    </w:p>
    <w:p w14:paraId="4D65D021" w14:textId="77777777" w:rsidR="002F2D40" w:rsidRPr="004D55C3" w:rsidRDefault="002F2D40" w:rsidP="002F2D40">
      <w:pPr>
        <w:pStyle w:val="ListParagraph"/>
        <w:numPr>
          <w:ilvl w:val="0"/>
          <w:numId w:val="29"/>
        </w:numPr>
        <w:tabs>
          <w:tab w:val="left" w:pos="2552"/>
          <w:tab w:val="left" w:pos="9781"/>
        </w:tabs>
        <w:spacing w:after="240" w:line="276" w:lineRule="auto"/>
        <w:rPr>
          <w:rFonts w:ascii="Times New Roman" w:hAnsi="Times New Roman"/>
          <w:i/>
        </w:rPr>
      </w:pPr>
      <w:r w:rsidRPr="004D55C3">
        <w:rPr>
          <w:rFonts w:ascii="Times New Roman" w:hAnsi="Times New Roman"/>
          <w:i/>
        </w:rPr>
        <w:lastRenderedPageBreak/>
        <w:t>Compensation of common frequency offset for DL transmission can be done in order to decrease UE complexity for DL frequency synchronization</w:t>
      </w:r>
    </w:p>
    <w:p w14:paraId="55EE736E" w14:textId="77777777" w:rsidR="002F2D40" w:rsidRDefault="002F2D40" w:rsidP="002F2D40">
      <w:pPr>
        <w:pStyle w:val="ListParagraph"/>
        <w:numPr>
          <w:ilvl w:val="1"/>
          <w:numId w:val="29"/>
        </w:numPr>
        <w:tabs>
          <w:tab w:val="left" w:pos="2552"/>
          <w:tab w:val="left" w:pos="9781"/>
        </w:tabs>
        <w:spacing w:after="240" w:line="276" w:lineRule="auto"/>
        <w:rPr>
          <w:rFonts w:ascii="Times New Roman" w:hAnsi="Times New Roman"/>
          <w:i/>
        </w:rPr>
      </w:pPr>
      <w:r w:rsidRPr="004D55C3">
        <w:rPr>
          <w:rFonts w:ascii="Times New Roman" w:hAnsi="Times New Roman"/>
          <w:i/>
        </w:rPr>
        <w:t>Indication of frequency offset value pre-compensated for DL transmission at the gNB side is not needed for UL synchronization</w:t>
      </w:r>
    </w:p>
    <w:p w14:paraId="4A62FBCC" w14:textId="77777777" w:rsidR="002F2D40" w:rsidRDefault="002F2D40" w:rsidP="002F2D40">
      <w:pPr>
        <w:spacing w:before="240" w:after="240"/>
        <w:jc w:val="both"/>
        <w:rPr>
          <w:sz w:val="22"/>
        </w:rPr>
      </w:pPr>
      <w:r w:rsidRPr="005C4B8C">
        <w:rPr>
          <w:b/>
          <w:i/>
          <w:sz w:val="22"/>
        </w:rPr>
        <w:t xml:space="preserve">Observation </w:t>
      </w:r>
      <w:r>
        <w:rPr>
          <w:b/>
          <w:i/>
          <w:sz w:val="22"/>
        </w:rPr>
        <w:t>2</w:t>
      </w:r>
      <w:r>
        <w:rPr>
          <w:sz w:val="22"/>
        </w:rPr>
        <w:t xml:space="preserve">: </w:t>
      </w:r>
    </w:p>
    <w:p w14:paraId="5262B09A" w14:textId="77777777" w:rsidR="002F2D40" w:rsidRPr="000E4817" w:rsidRDefault="002F2D40" w:rsidP="002F2D40">
      <w:pPr>
        <w:pStyle w:val="ListParagraph"/>
        <w:numPr>
          <w:ilvl w:val="0"/>
          <w:numId w:val="31"/>
        </w:numPr>
        <w:spacing w:before="240" w:after="240"/>
        <w:jc w:val="both"/>
        <w:rPr>
          <w:rFonts w:ascii="Times New Roman" w:hAnsi="Times New Roman"/>
          <w:i/>
        </w:rPr>
      </w:pPr>
      <w:r>
        <w:rPr>
          <w:rFonts w:ascii="Times New Roman" w:hAnsi="Times New Roman"/>
          <w:i/>
        </w:rPr>
        <w:t xml:space="preserve">Support for UEs </w:t>
      </w:r>
      <w:r w:rsidRPr="00802733">
        <w:rPr>
          <w:rFonts w:ascii="Times New Roman" w:hAnsi="Times New Roman"/>
          <w:i/>
        </w:rPr>
        <w:t>without pre-compensation</w:t>
      </w:r>
      <w:r w:rsidRPr="00802733">
        <w:t xml:space="preserve"> </w:t>
      </w:r>
      <w:r w:rsidRPr="00802733">
        <w:rPr>
          <w:rFonts w:ascii="Times New Roman" w:hAnsi="Times New Roman"/>
          <w:i/>
        </w:rPr>
        <w:t>of timing and frequency offset capabilities</w:t>
      </w:r>
      <w:r>
        <w:rPr>
          <w:rFonts w:ascii="Times New Roman" w:hAnsi="Times New Roman"/>
          <w:i/>
        </w:rPr>
        <w:t xml:space="preserve"> is not desirable from system performance perspective</w:t>
      </w:r>
    </w:p>
    <w:p w14:paraId="2F1DE893" w14:textId="77777777" w:rsidR="002F2D40" w:rsidRDefault="002F2D40" w:rsidP="002F2D40">
      <w:pPr>
        <w:spacing w:before="240" w:after="240"/>
        <w:jc w:val="both"/>
        <w:rPr>
          <w:sz w:val="22"/>
        </w:rPr>
      </w:pPr>
      <w:r w:rsidRPr="003A1642">
        <w:rPr>
          <w:b/>
          <w:i/>
          <w:sz w:val="22"/>
        </w:rPr>
        <w:t>Proposal 1</w:t>
      </w:r>
      <w:r>
        <w:rPr>
          <w:sz w:val="22"/>
        </w:rPr>
        <w:t>:</w:t>
      </w:r>
    </w:p>
    <w:p w14:paraId="46E294CB" w14:textId="3D25AAE5" w:rsidR="008F7913" w:rsidRPr="002F2D40" w:rsidRDefault="002F2D40" w:rsidP="002F2D40">
      <w:pPr>
        <w:pStyle w:val="ListParagraph"/>
        <w:numPr>
          <w:ilvl w:val="0"/>
          <w:numId w:val="30"/>
        </w:numPr>
        <w:spacing w:before="240" w:after="240"/>
        <w:jc w:val="both"/>
        <w:rPr>
          <w:rFonts w:ascii="Times New Roman" w:hAnsi="Times New Roman"/>
          <w:i/>
        </w:rPr>
      </w:pPr>
      <w:r w:rsidRPr="003A1642">
        <w:rPr>
          <w:rFonts w:ascii="Times New Roman" w:hAnsi="Times New Roman"/>
          <w:i/>
        </w:rPr>
        <w:t xml:space="preserve">UEs without pre-compensation of time and frequency </w:t>
      </w:r>
      <w:r>
        <w:rPr>
          <w:rFonts w:ascii="Times New Roman" w:hAnsi="Times New Roman"/>
          <w:i/>
        </w:rPr>
        <w:t>offset</w:t>
      </w:r>
      <w:r w:rsidRPr="003A1642">
        <w:rPr>
          <w:rFonts w:ascii="Times New Roman" w:hAnsi="Times New Roman"/>
          <w:i/>
        </w:rPr>
        <w:t xml:space="preserve"> capabilities are not considered </w:t>
      </w:r>
      <w:r>
        <w:rPr>
          <w:rFonts w:ascii="Times New Roman" w:hAnsi="Times New Roman"/>
          <w:i/>
        </w:rPr>
        <w:t>for the NTN WI</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62E0AD94" w14:textId="7554EBFB" w:rsidR="00693B04" w:rsidRDefault="00847C7F" w:rsidP="00D13C2E">
      <w:pPr>
        <w:numPr>
          <w:ilvl w:val="0"/>
          <w:numId w:val="2"/>
        </w:numPr>
        <w:rPr>
          <w:sz w:val="22"/>
          <w:lang w:eastAsia="zh-CN"/>
        </w:rPr>
      </w:pPr>
      <w:r w:rsidRPr="00847C7F">
        <w:rPr>
          <w:sz w:val="22"/>
        </w:rPr>
        <w:t>RP-193234</w:t>
      </w:r>
      <w:r w:rsidR="005E2025" w:rsidRPr="00957EE4">
        <w:rPr>
          <w:sz w:val="22"/>
        </w:rPr>
        <w:t xml:space="preserve"> </w:t>
      </w:r>
      <w:r w:rsidRPr="00847C7F">
        <w:rPr>
          <w:sz w:val="22"/>
        </w:rPr>
        <w:t>Solutions for NR to support non-terrestrial networks (NTN</w:t>
      </w:r>
      <w:r>
        <w:rPr>
          <w:sz w:val="22"/>
        </w:rPr>
        <w:t>)</w:t>
      </w:r>
    </w:p>
    <w:p w14:paraId="55EDF258" w14:textId="2A1A5316" w:rsidR="00CF7DE4" w:rsidRDefault="00CF7DE4" w:rsidP="006D0BF2">
      <w:pPr>
        <w:numPr>
          <w:ilvl w:val="0"/>
          <w:numId w:val="2"/>
        </w:numPr>
        <w:rPr>
          <w:sz w:val="22"/>
          <w:lang w:eastAsia="zh-CN"/>
        </w:rPr>
      </w:pPr>
      <w:r w:rsidRPr="00CF7DE4">
        <w:rPr>
          <w:sz w:val="22"/>
          <w:lang w:eastAsia="zh-CN"/>
        </w:rPr>
        <w:t>3GPP TR 38.821 V16.0.0 (2019-12)</w:t>
      </w:r>
      <w:r w:rsidR="00EB57B2">
        <w:rPr>
          <w:sz w:val="22"/>
          <w:lang w:eastAsia="zh-CN"/>
        </w:rPr>
        <w:t>;</w:t>
      </w:r>
      <w:r w:rsidRPr="00CF7DE4">
        <w:rPr>
          <w:sz w:val="22"/>
          <w:lang w:eastAsia="zh-CN"/>
        </w:rPr>
        <w:t xml:space="preserve"> 3rd Generation Partnership Project; Technical Specification Group Radio Access Network; Solutions for NR to support non-terrestrial networks (NTN</w:t>
      </w:r>
      <w:r>
        <w:rPr>
          <w:sz w:val="22"/>
          <w:lang w:eastAsia="zh-CN"/>
        </w:rPr>
        <w:t xml:space="preserve">) </w:t>
      </w:r>
      <w:r w:rsidRPr="00CF7DE4">
        <w:rPr>
          <w:sz w:val="22"/>
          <w:lang w:eastAsia="zh-CN"/>
        </w:rPr>
        <w:t>(Release 16)</w:t>
      </w:r>
    </w:p>
    <w:p w14:paraId="4EF22F02" w14:textId="552B2166" w:rsidR="00AD3274" w:rsidRPr="00CF7DE4" w:rsidRDefault="00665FCF" w:rsidP="006D0BF2">
      <w:pPr>
        <w:numPr>
          <w:ilvl w:val="0"/>
          <w:numId w:val="2"/>
        </w:numPr>
        <w:rPr>
          <w:sz w:val="22"/>
          <w:lang w:eastAsia="zh-CN"/>
        </w:rPr>
      </w:pPr>
      <w:r w:rsidRPr="00665FCF">
        <w:rPr>
          <w:sz w:val="22"/>
          <w:lang w:eastAsia="zh-CN"/>
        </w:rPr>
        <w:t>R1-2008989</w:t>
      </w:r>
      <w:r>
        <w:rPr>
          <w:sz w:val="22"/>
          <w:lang w:eastAsia="zh-CN"/>
        </w:rPr>
        <w:t xml:space="preserve"> </w:t>
      </w:r>
      <w:r w:rsidR="00641887" w:rsidRPr="00641887">
        <w:rPr>
          <w:sz w:val="22"/>
          <w:lang w:eastAsia="zh-CN"/>
        </w:rPr>
        <w:t>On timing relationship enhancements for NTN</w:t>
      </w:r>
      <w:r w:rsidR="00641887">
        <w:rPr>
          <w:sz w:val="22"/>
          <w:lang w:eastAsia="zh-CN"/>
        </w:rPr>
        <w:t xml:space="preserve">, </w:t>
      </w:r>
      <w:r w:rsidR="00641887" w:rsidRPr="00641887">
        <w:rPr>
          <w:sz w:val="22"/>
          <w:lang w:eastAsia="zh-CN"/>
        </w:rPr>
        <w:t>Intel Corporation</w:t>
      </w:r>
    </w:p>
    <w:sectPr w:rsidR="00AD3274" w:rsidRPr="00CF7DE4" w:rsidSect="00733B1F">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A56C2" w14:textId="77777777" w:rsidR="00070540" w:rsidRDefault="00070540">
      <w:r>
        <w:separator/>
      </w:r>
    </w:p>
  </w:endnote>
  <w:endnote w:type="continuationSeparator" w:id="0">
    <w:p w14:paraId="4FA59233" w14:textId="77777777" w:rsidR="00070540" w:rsidRDefault="00070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13BCB" w14:textId="77777777" w:rsidR="00387F27" w:rsidRDefault="00387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786BD" w14:textId="77777777" w:rsidR="00070540" w:rsidRDefault="00070540">
      <w:r>
        <w:separator/>
      </w:r>
    </w:p>
  </w:footnote>
  <w:footnote w:type="continuationSeparator" w:id="0">
    <w:p w14:paraId="58DBE256" w14:textId="77777777" w:rsidR="00070540" w:rsidRDefault="00070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5F7BE" w14:textId="77777777" w:rsidR="00387F27" w:rsidRDefault="00387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B9B74" w14:textId="77777777" w:rsidR="00387F27" w:rsidRDefault="00387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1"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6" w15:restartNumberingAfterBreak="0">
    <w:nsid w:val="379C2D2E"/>
    <w:multiLevelType w:val="hybridMultilevel"/>
    <w:tmpl w:val="E962E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B5C3DF4"/>
    <w:multiLevelType w:val="hybridMultilevel"/>
    <w:tmpl w:val="E96469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D213312"/>
    <w:multiLevelType w:val="hybridMultilevel"/>
    <w:tmpl w:val="6C509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31"/>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6"/>
  </w:num>
  <w:num w:numId="7">
    <w:abstractNumId w:val="3"/>
  </w:num>
  <w:num w:numId="8">
    <w:abstractNumId w:val="27"/>
  </w:num>
  <w:num w:numId="9">
    <w:abstractNumId w:val="1"/>
  </w:num>
  <w:num w:numId="10">
    <w:abstractNumId w:val="2"/>
  </w:num>
  <w:num w:numId="11">
    <w:abstractNumId w:val="4"/>
  </w:num>
  <w:num w:numId="12">
    <w:abstractNumId w:val="7"/>
  </w:num>
  <w:num w:numId="13">
    <w:abstractNumId w:val="24"/>
  </w:num>
  <w:num w:numId="14">
    <w:abstractNumId w:val="30"/>
  </w:num>
  <w:num w:numId="15">
    <w:abstractNumId w:val="5"/>
  </w:num>
  <w:num w:numId="16">
    <w:abstractNumId w:val="14"/>
  </w:num>
  <w:num w:numId="17">
    <w:abstractNumId w:val="23"/>
  </w:num>
  <w:num w:numId="18">
    <w:abstractNumId w:val="18"/>
  </w:num>
  <w:num w:numId="19">
    <w:abstractNumId w:val="17"/>
  </w:num>
  <w:num w:numId="20">
    <w:abstractNumId w:val="25"/>
  </w:num>
  <w:num w:numId="21">
    <w:abstractNumId w:val="29"/>
  </w:num>
  <w:num w:numId="22">
    <w:abstractNumId w:val="8"/>
  </w:num>
  <w:num w:numId="23">
    <w:abstractNumId w:val="28"/>
  </w:num>
  <w:num w:numId="24">
    <w:abstractNumId w:val="20"/>
  </w:num>
  <w:num w:numId="25">
    <w:abstractNumId w:val="6"/>
  </w:num>
  <w:num w:numId="26">
    <w:abstractNumId w:val="12"/>
  </w:num>
  <w:num w:numId="27">
    <w:abstractNumId w:val="11"/>
  </w:num>
  <w:num w:numId="28">
    <w:abstractNumId w:val="15"/>
  </w:num>
  <w:num w:numId="29">
    <w:abstractNumId w:val="21"/>
  </w:num>
  <w:num w:numId="30">
    <w:abstractNumId w:val="16"/>
  </w:num>
  <w:num w:numId="31">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8F2"/>
    <w:rsid w:val="000029A6"/>
    <w:rsid w:val="00002BDF"/>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462"/>
    <w:rsid w:val="00013633"/>
    <w:rsid w:val="000137FF"/>
    <w:rsid w:val="00013983"/>
    <w:rsid w:val="00013B63"/>
    <w:rsid w:val="000141F0"/>
    <w:rsid w:val="00014392"/>
    <w:rsid w:val="000149D0"/>
    <w:rsid w:val="000159CB"/>
    <w:rsid w:val="00015B1D"/>
    <w:rsid w:val="00015BCB"/>
    <w:rsid w:val="0001620A"/>
    <w:rsid w:val="000162B2"/>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59"/>
    <w:rsid w:val="00070378"/>
    <w:rsid w:val="000704FD"/>
    <w:rsid w:val="00070540"/>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AFF"/>
    <w:rsid w:val="00080D68"/>
    <w:rsid w:val="00080D74"/>
    <w:rsid w:val="000814B2"/>
    <w:rsid w:val="00081597"/>
    <w:rsid w:val="00081A06"/>
    <w:rsid w:val="00081F3C"/>
    <w:rsid w:val="00082152"/>
    <w:rsid w:val="0008236E"/>
    <w:rsid w:val="000825BC"/>
    <w:rsid w:val="000826FF"/>
    <w:rsid w:val="00082A49"/>
    <w:rsid w:val="00082EF5"/>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38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FF3"/>
    <w:rsid w:val="000B10AB"/>
    <w:rsid w:val="000B17A1"/>
    <w:rsid w:val="000B193E"/>
    <w:rsid w:val="000B1B47"/>
    <w:rsid w:val="000B1CD3"/>
    <w:rsid w:val="000B256B"/>
    <w:rsid w:val="000B26B1"/>
    <w:rsid w:val="000B2AAA"/>
    <w:rsid w:val="000B2B61"/>
    <w:rsid w:val="000B32D4"/>
    <w:rsid w:val="000B3658"/>
    <w:rsid w:val="000B366F"/>
    <w:rsid w:val="000B38DA"/>
    <w:rsid w:val="000B3F37"/>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131"/>
    <w:rsid w:val="000F036B"/>
    <w:rsid w:val="000F04CE"/>
    <w:rsid w:val="000F06D8"/>
    <w:rsid w:val="000F078C"/>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5A3"/>
    <w:rsid w:val="00140608"/>
    <w:rsid w:val="0014073C"/>
    <w:rsid w:val="00140762"/>
    <w:rsid w:val="00140912"/>
    <w:rsid w:val="00140A2F"/>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501"/>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3D9"/>
    <w:rsid w:val="001544AB"/>
    <w:rsid w:val="00154A24"/>
    <w:rsid w:val="00154B50"/>
    <w:rsid w:val="00154CC8"/>
    <w:rsid w:val="00154E96"/>
    <w:rsid w:val="00155146"/>
    <w:rsid w:val="001553DA"/>
    <w:rsid w:val="001555CC"/>
    <w:rsid w:val="00155841"/>
    <w:rsid w:val="00155DE9"/>
    <w:rsid w:val="00155F7A"/>
    <w:rsid w:val="001560AB"/>
    <w:rsid w:val="00156171"/>
    <w:rsid w:val="00156260"/>
    <w:rsid w:val="00156553"/>
    <w:rsid w:val="0015674F"/>
    <w:rsid w:val="001574F9"/>
    <w:rsid w:val="0015790D"/>
    <w:rsid w:val="00157D41"/>
    <w:rsid w:val="00157FE4"/>
    <w:rsid w:val="0016019C"/>
    <w:rsid w:val="0016049F"/>
    <w:rsid w:val="00160674"/>
    <w:rsid w:val="00160786"/>
    <w:rsid w:val="00160EC9"/>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0AAC"/>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498"/>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43"/>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A2D"/>
    <w:rsid w:val="001F2AC9"/>
    <w:rsid w:val="001F2E08"/>
    <w:rsid w:val="001F2E29"/>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852"/>
    <w:rsid w:val="00212A4F"/>
    <w:rsid w:val="00212D30"/>
    <w:rsid w:val="00212FF2"/>
    <w:rsid w:val="002130BD"/>
    <w:rsid w:val="0021330D"/>
    <w:rsid w:val="0021356F"/>
    <w:rsid w:val="0021370C"/>
    <w:rsid w:val="00213851"/>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3A5"/>
    <w:rsid w:val="00224A9B"/>
    <w:rsid w:val="00224C25"/>
    <w:rsid w:val="00224E90"/>
    <w:rsid w:val="00225398"/>
    <w:rsid w:val="00225FAF"/>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4B4"/>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68"/>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3D"/>
    <w:rsid w:val="002A5488"/>
    <w:rsid w:val="002A58FF"/>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740"/>
    <w:rsid w:val="002B07BF"/>
    <w:rsid w:val="002B0805"/>
    <w:rsid w:val="002B0819"/>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31F"/>
    <w:rsid w:val="002C43C2"/>
    <w:rsid w:val="002C44DB"/>
    <w:rsid w:val="002C47B7"/>
    <w:rsid w:val="002C47BD"/>
    <w:rsid w:val="002C4FAC"/>
    <w:rsid w:val="002C5533"/>
    <w:rsid w:val="002C5620"/>
    <w:rsid w:val="002C5A6B"/>
    <w:rsid w:val="002C5DAF"/>
    <w:rsid w:val="002C5DB8"/>
    <w:rsid w:val="002C61E0"/>
    <w:rsid w:val="002C677C"/>
    <w:rsid w:val="002C6BEA"/>
    <w:rsid w:val="002C6C3A"/>
    <w:rsid w:val="002C7516"/>
    <w:rsid w:val="002C772F"/>
    <w:rsid w:val="002C782F"/>
    <w:rsid w:val="002C7ABD"/>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2D40"/>
    <w:rsid w:val="002F3DEF"/>
    <w:rsid w:val="002F3F16"/>
    <w:rsid w:val="002F40DA"/>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9"/>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1B66"/>
    <w:rsid w:val="003121B8"/>
    <w:rsid w:val="00313452"/>
    <w:rsid w:val="003137A0"/>
    <w:rsid w:val="003137ED"/>
    <w:rsid w:val="00313A6F"/>
    <w:rsid w:val="00313C4F"/>
    <w:rsid w:val="00313CF8"/>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FAD"/>
    <w:rsid w:val="00324636"/>
    <w:rsid w:val="00324731"/>
    <w:rsid w:val="003249F8"/>
    <w:rsid w:val="003259EB"/>
    <w:rsid w:val="00325A83"/>
    <w:rsid w:val="00325C38"/>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C3"/>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6AC"/>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328"/>
    <w:rsid w:val="003415A8"/>
    <w:rsid w:val="00341CDF"/>
    <w:rsid w:val="0034243C"/>
    <w:rsid w:val="0034246D"/>
    <w:rsid w:val="003426DE"/>
    <w:rsid w:val="0034287C"/>
    <w:rsid w:val="00342925"/>
    <w:rsid w:val="0034305B"/>
    <w:rsid w:val="003430E0"/>
    <w:rsid w:val="0034368B"/>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5EB6"/>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D8A"/>
    <w:rsid w:val="00357F5C"/>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179"/>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702D"/>
    <w:rsid w:val="003870BC"/>
    <w:rsid w:val="0038732E"/>
    <w:rsid w:val="00387489"/>
    <w:rsid w:val="00387675"/>
    <w:rsid w:val="00387758"/>
    <w:rsid w:val="00387771"/>
    <w:rsid w:val="00387854"/>
    <w:rsid w:val="00387B2B"/>
    <w:rsid w:val="00387D1D"/>
    <w:rsid w:val="00387F27"/>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6BD2"/>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5D99"/>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554"/>
    <w:rsid w:val="003C185C"/>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F8D"/>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70"/>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76F"/>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ADC"/>
    <w:rsid w:val="00465EB3"/>
    <w:rsid w:val="0046645E"/>
    <w:rsid w:val="00466523"/>
    <w:rsid w:val="00466655"/>
    <w:rsid w:val="00466D1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96A"/>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79A"/>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B6D"/>
    <w:rsid w:val="00483D11"/>
    <w:rsid w:val="00483D20"/>
    <w:rsid w:val="0048406D"/>
    <w:rsid w:val="0048410E"/>
    <w:rsid w:val="00484220"/>
    <w:rsid w:val="0048442E"/>
    <w:rsid w:val="004844C7"/>
    <w:rsid w:val="00484C46"/>
    <w:rsid w:val="00484C7D"/>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6EF"/>
    <w:rsid w:val="00492CE6"/>
    <w:rsid w:val="00492D3C"/>
    <w:rsid w:val="00492DD2"/>
    <w:rsid w:val="00492ECB"/>
    <w:rsid w:val="00493008"/>
    <w:rsid w:val="0049349F"/>
    <w:rsid w:val="004935A4"/>
    <w:rsid w:val="004938B6"/>
    <w:rsid w:val="0049399F"/>
    <w:rsid w:val="00493D08"/>
    <w:rsid w:val="004944BE"/>
    <w:rsid w:val="00494D25"/>
    <w:rsid w:val="00494E75"/>
    <w:rsid w:val="00495071"/>
    <w:rsid w:val="00495126"/>
    <w:rsid w:val="00495227"/>
    <w:rsid w:val="004961DB"/>
    <w:rsid w:val="0049653E"/>
    <w:rsid w:val="0049681D"/>
    <w:rsid w:val="00496BEF"/>
    <w:rsid w:val="00496BF8"/>
    <w:rsid w:val="00497275"/>
    <w:rsid w:val="0049792C"/>
    <w:rsid w:val="004A0003"/>
    <w:rsid w:val="004A01E1"/>
    <w:rsid w:val="004A06D4"/>
    <w:rsid w:val="004A0814"/>
    <w:rsid w:val="004A0D1B"/>
    <w:rsid w:val="004A0E00"/>
    <w:rsid w:val="004A15F7"/>
    <w:rsid w:val="004A1600"/>
    <w:rsid w:val="004A18A8"/>
    <w:rsid w:val="004A193D"/>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7"/>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3EE"/>
    <w:rsid w:val="004C0644"/>
    <w:rsid w:val="004C0B5B"/>
    <w:rsid w:val="004C0EA7"/>
    <w:rsid w:val="004C0F99"/>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C94"/>
    <w:rsid w:val="004D0E42"/>
    <w:rsid w:val="004D135B"/>
    <w:rsid w:val="004D171F"/>
    <w:rsid w:val="004D182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5C3"/>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8D"/>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DA0"/>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32A"/>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070"/>
    <w:rsid w:val="00521B8C"/>
    <w:rsid w:val="00521D65"/>
    <w:rsid w:val="00521D8B"/>
    <w:rsid w:val="00521F19"/>
    <w:rsid w:val="005221A4"/>
    <w:rsid w:val="005227EA"/>
    <w:rsid w:val="00523366"/>
    <w:rsid w:val="00523DCA"/>
    <w:rsid w:val="00523E18"/>
    <w:rsid w:val="00523E2D"/>
    <w:rsid w:val="00523EAD"/>
    <w:rsid w:val="00523F32"/>
    <w:rsid w:val="0052422C"/>
    <w:rsid w:val="00524458"/>
    <w:rsid w:val="005244D5"/>
    <w:rsid w:val="005245A9"/>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1E61"/>
    <w:rsid w:val="005421CF"/>
    <w:rsid w:val="005422FB"/>
    <w:rsid w:val="005424B2"/>
    <w:rsid w:val="00542F16"/>
    <w:rsid w:val="0054324F"/>
    <w:rsid w:val="00543639"/>
    <w:rsid w:val="005436D7"/>
    <w:rsid w:val="00543703"/>
    <w:rsid w:val="00543A66"/>
    <w:rsid w:val="00543A83"/>
    <w:rsid w:val="00543A8B"/>
    <w:rsid w:val="00543F56"/>
    <w:rsid w:val="00544220"/>
    <w:rsid w:val="005444D2"/>
    <w:rsid w:val="00544A33"/>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573"/>
    <w:rsid w:val="00556680"/>
    <w:rsid w:val="005567AA"/>
    <w:rsid w:val="005567BF"/>
    <w:rsid w:val="005569D2"/>
    <w:rsid w:val="00556CE7"/>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886"/>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64F"/>
    <w:rsid w:val="005A6A3A"/>
    <w:rsid w:val="005A6FA1"/>
    <w:rsid w:val="005A70E5"/>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C58"/>
    <w:rsid w:val="005B3C7C"/>
    <w:rsid w:val="005B3E2A"/>
    <w:rsid w:val="005B46B4"/>
    <w:rsid w:val="005B4911"/>
    <w:rsid w:val="005B4B5E"/>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D52"/>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3D42"/>
    <w:rsid w:val="00614064"/>
    <w:rsid w:val="006141D8"/>
    <w:rsid w:val="00614263"/>
    <w:rsid w:val="00614398"/>
    <w:rsid w:val="00614CB4"/>
    <w:rsid w:val="00614D1E"/>
    <w:rsid w:val="0061524B"/>
    <w:rsid w:val="0061565F"/>
    <w:rsid w:val="00615BDB"/>
    <w:rsid w:val="006162DC"/>
    <w:rsid w:val="00616449"/>
    <w:rsid w:val="006166CC"/>
    <w:rsid w:val="00616885"/>
    <w:rsid w:val="0061717F"/>
    <w:rsid w:val="006171DC"/>
    <w:rsid w:val="00617369"/>
    <w:rsid w:val="006175CF"/>
    <w:rsid w:val="006178F7"/>
    <w:rsid w:val="00617925"/>
    <w:rsid w:val="00617D8E"/>
    <w:rsid w:val="00620172"/>
    <w:rsid w:val="006201A2"/>
    <w:rsid w:val="00620254"/>
    <w:rsid w:val="006203A9"/>
    <w:rsid w:val="00620400"/>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55A"/>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84"/>
    <w:rsid w:val="00635EDA"/>
    <w:rsid w:val="00635EDC"/>
    <w:rsid w:val="00635F56"/>
    <w:rsid w:val="00636094"/>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87"/>
    <w:rsid w:val="006418A7"/>
    <w:rsid w:val="006419E1"/>
    <w:rsid w:val="006419ED"/>
    <w:rsid w:val="00641A3B"/>
    <w:rsid w:val="006426BE"/>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28"/>
    <w:rsid w:val="00650854"/>
    <w:rsid w:val="006508EE"/>
    <w:rsid w:val="00650CF1"/>
    <w:rsid w:val="00650D1E"/>
    <w:rsid w:val="00650EB8"/>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14"/>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D6F"/>
    <w:rsid w:val="00657005"/>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5FCF"/>
    <w:rsid w:val="00666025"/>
    <w:rsid w:val="0066655A"/>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5E76"/>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FC9"/>
    <w:rsid w:val="00681FCB"/>
    <w:rsid w:val="0068226B"/>
    <w:rsid w:val="00682318"/>
    <w:rsid w:val="006824E8"/>
    <w:rsid w:val="006829D8"/>
    <w:rsid w:val="00682A4A"/>
    <w:rsid w:val="00682B34"/>
    <w:rsid w:val="00682ED3"/>
    <w:rsid w:val="0068367C"/>
    <w:rsid w:val="00683D7F"/>
    <w:rsid w:val="00683EF3"/>
    <w:rsid w:val="00684258"/>
    <w:rsid w:val="006849EB"/>
    <w:rsid w:val="00684A0D"/>
    <w:rsid w:val="006856B4"/>
    <w:rsid w:val="00685725"/>
    <w:rsid w:val="00685D3B"/>
    <w:rsid w:val="0068623E"/>
    <w:rsid w:val="00686366"/>
    <w:rsid w:val="0068653A"/>
    <w:rsid w:val="0068655C"/>
    <w:rsid w:val="0068673B"/>
    <w:rsid w:val="006868CB"/>
    <w:rsid w:val="00686CB9"/>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1EC6"/>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6DB"/>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B3F"/>
    <w:rsid w:val="006C20C0"/>
    <w:rsid w:val="006C2D5B"/>
    <w:rsid w:val="006C2F89"/>
    <w:rsid w:val="006C375B"/>
    <w:rsid w:val="006C377A"/>
    <w:rsid w:val="006C3B24"/>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EAA"/>
    <w:rsid w:val="006E1EE9"/>
    <w:rsid w:val="006E20C2"/>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2F8"/>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0FE"/>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A0F"/>
    <w:rsid w:val="00712FDB"/>
    <w:rsid w:val="0071374D"/>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BFE"/>
    <w:rsid w:val="00736D7B"/>
    <w:rsid w:val="0073743A"/>
    <w:rsid w:val="007377ED"/>
    <w:rsid w:val="00737931"/>
    <w:rsid w:val="007379C8"/>
    <w:rsid w:val="00737A2C"/>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3EE9"/>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731"/>
    <w:rsid w:val="00753B9D"/>
    <w:rsid w:val="00753E73"/>
    <w:rsid w:val="00753F01"/>
    <w:rsid w:val="0075401D"/>
    <w:rsid w:val="0075412E"/>
    <w:rsid w:val="00754D64"/>
    <w:rsid w:val="0075561C"/>
    <w:rsid w:val="007556A5"/>
    <w:rsid w:val="00755B06"/>
    <w:rsid w:val="00755E06"/>
    <w:rsid w:val="00755E61"/>
    <w:rsid w:val="007561A6"/>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F1A"/>
    <w:rsid w:val="00770FBC"/>
    <w:rsid w:val="00770FC9"/>
    <w:rsid w:val="007711E4"/>
    <w:rsid w:val="007715FA"/>
    <w:rsid w:val="007718CC"/>
    <w:rsid w:val="0077199F"/>
    <w:rsid w:val="007719DC"/>
    <w:rsid w:val="00771D89"/>
    <w:rsid w:val="007721AD"/>
    <w:rsid w:val="00772C97"/>
    <w:rsid w:val="00772D15"/>
    <w:rsid w:val="00772DC3"/>
    <w:rsid w:val="00772E92"/>
    <w:rsid w:val="007733C4"/>
    <w:rsid w:val="0077374B"/>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7BE"/>
    <w:rsid w:val="0078380D"/>
    <w:rsid w:val="0078388F"/>
    <w:rsid w:val="00783C3E"/>
    <w:rsid w:val="007842FE"/>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CC"/>
    <w:rsid w:val="007A43F5"/>
    <w:rsid w:val="007A4A07"/>
    <w:rsid w:val="007A4AF1"/>
    <w:rsid w:val="007A4E21"/>
    <w:rsid w:val="007A4F88"/>
    <w:rsid w:val="007A5201"/>
    <w:rsid w:val="007A5288"/>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AC4"/>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E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A19"/>
    <w:rsid w:val="00803E2E"/>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BA"/>
    <w:rsid w:val="00806CFB"/>
    <w:rsid w:val="00806D29"/>
    <w:rsid w:val="008075F9"/>
    <w:rsid w:val="0080770D"/>
    <w:rsid w:val="008078EA"/>
    <w:rsid w:val="00807D28"/>
    <w:rsid w:val="00807D5E"/>
    <w:rsid w:val="00807E1B"/>
    <w:rsid w:val="0081012C"/>
    <w:rsid w:val="00810653"/>
    <w:rsid w:val="00810C3E"/>
    <w:rsid w:val="00810DE9"/>
    <w:rsid w:val="00810EAE"/>
    <w:rsid w:val="00810FCE"/>
    <w:rsid w:val="00811036"/>
    <w:rsid w:val="008113BD"/>
    <w:rsid w:val="00811E27"/>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46"/>
    <w:rsid w:val="008412EA"/>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4ABE"/>
    <w:rsid w:val="00845874"/>
    <w:rsid w:val="00845F51"/>
    <w:rsid w:val="00845F5B"/>
    <w:rsid w:val="00845F6D"/>
    <w:rsid w:val="00846106"/>
    <w:rsid w:val="008462E7"/>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21C5"/>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0C8"/>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4A5"/>
    <w:rsid w:val="00870793"/>
    <w:rsid w:val="00870A1C"/>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114"/>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A62"/>
    <w:rsid w:val="008C0CA1"/>
    <w:rsid w:val="008C0FB9"/>
    <w:rsid w:val="008C105E"/>
    <w:rsid w:val="008C1434"/>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CDD"/>
    <w:rsid w:val="008E0E89"/>
    <w:rsid w:val="008E0E8C"/>
    <w:rsid w:val="008E0F69"/>
    <w:rsid w:val="008E1217"/>
    <w:rsid w:val="008E1294"/>
    <w:rsid w:val="008E183A"/>
    <w:rsid w:val="008E1B76"/>
    <w:rsid w:val="008E1F30"/>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913"/>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8B"/>
    <w:rsid w:val="00925AE7"/>
    <w:rsid w:val="00925C3F"/>
    <w:rsid w:val="00925DD1"/>
    <w:rsid w:val="00925F77"/>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55F0"/>
    <w:rsid w:val="00935B52"/>
    <w:rsid w:val="00935E52"/>
    <w:rsid w:val="00935F38"/>
    <w:rsid w:val="00936951"/>
    <w:rsid w:val="00936A90"/>
    <w:rsid w:val="009370A6"/>
    <w:rsid w:val="009374F8"/>
    <w:rsid w:val="00937AC7"/>
    <w:rsid w:val="00937D15"/>
    <w:rsid w:val="00937D48"/>
    <w:rsid w:val="009404EF"/>
    <w:rsid w:val="00940567"/>
    <w:rsid w:val="009406F4"/>
    <w:rsid w:val="0094082E"/>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B43"/>
    <w:rsid w:val="00943D09"/>
    <w:rsid w:val="00944202"/>
    <w:rsid w:val="00944335"/>
    <w:rsid w:val="00944710"/>
    <w:rsid w:val="00944AF4"/>
    <w:rsid w:val="00944D54"/>
    <w:rsid w:val="00944EA3"/>
    <w:rsid w:val="00944EC4"/>
    <w:rsid w:val="009450F1"/>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8C3"/>
    <w:rsid w:val="00954A45"/>
    <w:rsid w:val="00954D74"/>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67F4D"/>
    <w:rsid w:val="00970156"/>
    <w:rsid w:val="00970279"/>
    <w:rsid w:val="00970635"/>
    <w:rsid w:val="00970771"/>
    <w:rsid w:val="00970872"/>
    <w:rsid w:val="0097098F"/>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864"/>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C2"/>
    <w:rsid w:val="009C19C1"/>
    <w:rsid w:val="009C1A35"/>
    <w:rsid w:val="009C1D4B"/>
    <w:rsid w:val="009C1E0C"/>
    <w:rsid w:val="009C1E17"/>
    <w:rsid w:val="009C1F0C"/>
    <w:rsid w:val="009C281C"/>
    <w:rsid w:val="009C29E0"/>
    <w:rsid w:val="009C2BEB"/>
    <w:rsid w:val="009C308A"/>
    <w:rsid w:val="009C31B7"/>
    <w:rsid w:val="009C3815"/>
    <w:rsid w:val="009C383A"/>
    <w:rsid w:val="009C3A87"/>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6F40"/>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1E51"/>
    <w:rsid w:val="009F2114"/>
    <w:rsid w:val="009F2297"/>
    <w:rsid w:val="009F231D"/>
    <w:rsid w:val="009F29EB"/>
    <w:rsid w:val="009F2B89"/>
    <w:rsid w:val="009F2E7E"/>
    <w:rsid w:val="009F3150"/>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680"/>
    <w:rsid w:val="00A66A0F"/>
    <w:rsid w:val="00A66A5A"/>
    <w:rsid w:val="00A66F21"/>
    <w:rsid w:val="00A67668"/>
    <w:rsid w:val="00A676FC"/>
    <w:rsid w:val="00A677C1"/>
    <w:rsid w:val="00A6799D"/>
    <w:rsid w:val="00A67A8E"/>
    <w:rsid w:val="00A67AC6"/>
    <w:rsid w:val="00A67EE0"/>
    <w:rsid w:val="00A70709"/>
    <w:rsid w:val="00A70A35"/>
    <w:rsid w:val="00A7141F"/>
    <w:rsid w:val="00A7166B"/>
    <w:rsid w:val="00A718A7"/>
    <w:rsid w:val="00A71AB8"/>
    <w:rsid w:val="00A71D6B"/>
    <w:rsid w:val="00A72343"/>
    <w:rsid w:val="00A727EB"/>
    <w:rsid w:val="00A72AF2"/>
    <w:rsid w:val="00A72D29"/>
    <w:rsid w:val="00A730EF"/>
    <w:rsid w:val="00A73195"/>
    <w:rsid w:val="00A731A7"/>
    <w:rsid w:val="00A734DA"/>
    <w:rsid w:val="00A73873"/>
    <w:rsid w:val="00A739B6"/>
    <w:rsid w:val="00A73A4F"/>
    <w:rsid w:val="00A73A88"/>
    <w:rsid w:val="00A741D1"/>
    <w:rsid w:val="00A744A2"/>
    <w:rsid w:val="00A745D9"/>
    <w:rsid w:val="00A74801"/>
    <w:rsid w:val="00A748C3"/>
    <w:rsid w:val="00A748D8"/>
    <w:rsid w:val="00A74955"/>
    <w:rsid w:val="00A74E04"/>
    <w:rsid w:val="00A74F6C"/>
    <w:rsid w:val="00A75204"/>
    <w:rsid w:val="00A75212"/>
    <w:rsid w:val="00A7538B"/>
    <w:rsid w:val="00A75857"/>
    <w:rsid w:val="00A75920"/>
    <w:rsid w:val="00A75C8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71EC"/>
    <w:rsid w:val="00A9727C"/>
    <w:rsid w:val="00A972FE"/>
    <w:rsid w:val="00A97666"/>
    <w:rsid w:val="00A97B8C"/>
    <w:rsid w:val="00A97E7B"/>
    <w:rsid w:val="00A97F17"/>
    <w:rsid w:val="00A97FD8"/>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5144"/>
    <w:rsid w:val="00AA53BC"/>
    <w:rsid w:val="00AA5584"/>
    <w:rsid w:val="00AA5903"/>
    <w:rsid w:val="00AA5A72"/>
    <w:rsid w:val="00AA600B"/>
    <w:rsid w:val="00AA6026"/>
    <w:rsid w:val="00AA6206"/>
    <w:rsid w:val="00AA630A"/>
    <w:rsid w:val="00AA69EF"/>
    <w:rsid w:val="00AA6A93"/>
    <w:rsid w:val="00AA6B64"/>
    <w:rsid w:val="00AA6F9A"/>
    <w:rsid w:val="00AA7C4F"/>
    <w:rsid w:val="00AB001C"/>
    <w:rsid w:val="00AB003A"/>
    <w:rsid w:val="00AB0219"/>
    <w:rsid w:val="00AB02C8"/>
    <w:rsid w:val="00AB06B8"/>
    <w:rsid w:val="00AB0ADE"/>
    <w:rsid w:val="00AB0CA0"/>
    <w:rsid w:val="00AB102D"/>
    <w:rsid w:val="00AB1A33"/>
    <w:rsid w:val="00AB1BBE"/>
    <w:rsid w:val="00AB1BDF"/>
    <w:rsid w:val="00AB1C99"/>
    <w:rsid w:val="00AB268D"/>
    <w:rsid w:val="00AB26CB"/>
    <w:rsid w:val="00AB2857"/>
    <w:rsid w:val="00AB2AE9"/>
    <w:rsid w:val="00AB2FE7"/>
    <w:rsid w:val="00AB3299"/>
    <w:rsid w:val="00AB3418"/>
    <w:rsid w:val="00AB3491"/>
    <w:rsid w:val="00AB3514"/>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1191"/>
    <w:rsid w:val="00AC1281"/>
    <w:rsid w:val="00AC1500"/>
    <w:rsid w:val="00AC1569"/>
    <w:rsid w:val="00AC165D"/>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D71"/>
    <w:rsid w:val="00B26E94"/>
    <w:rsid w:val="00B27436"/>
    <w:rsid w:val="00B2757B"/>
    <w:rsid w:val="00B277AA"/>
    <w:rsid w:val="00B27BA9"/>
    <w:rsid w:val="00B27C5E"/>
    <w:rsid w:val="00B27D54"/>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3781A"/>
    <w:rsid w:val="00B4003E"/>
    <w:rsid w:val="00B40292"/>
    <w:rsid w:val="00B406B2"/>
    <w:rsid w:val="00B40AD2"/>
    <w:rsid w:val="00B40D73"/>
    <w:rsid w:val="00B411A3"/>
    <w:rsid w:val="00B412CB"/>
    <w:rsid w:val="00B41351"/>
    <w:rsid w:val="00B415EF"/>
    <w:rsid w:val="00B416B9"/>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ED"/>
    <w:rsid w:val="00B60DF7"/>
    <w:rsid w:val="00B60E6E"/>
    <w:rsid w:val="00B6101F"/>
    <w:rsid w:val="00B6184F"/>
    <w:rsid w:val="00B619AF"/>
    <w:rsid w:val="00B61B85"/>
    <w:rsid w:val="00B61CFF"/>
    <w:rsid w:val="00B61F70"/>
    <w:rsid w:val="00B6237B"/>
    <w:rsid w:val="00B624C5"/>
    <w:rsid w:val="00B629E9"/>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7FF"/>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538"/>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CA9"/>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DF"/>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17F"/>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C33"/>
    <w:rsid w:val="00C11C73"/>
    <w:rsid w:val="00C11FE5"/>
    <w:rsid w:val="00C11FF6"/>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E60"/>
    <w:rsid w:val="00C20F77"/>
    <w:rsid w:val="00C210D4"/>
    <w:rsid w:val="00C212C7"/>
    <w:rsid w:val="00C21B1D"/>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3192"/>
    <w:rsid w:val="00C33373"/>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6C0"/>
    <w:rsid w:val="00C36726"/>
    <w:rsid w:val="00C36965"/>
    <w:rsid w:val="00C36DAD"/>
    <w:rsid w:val="00C37050"/>
    <w:rsid w:val="00C3731A"/>
    <w:rsid w:val="00C37493"/>
    <w:rsid w:val="00C376DB"/>
    <w:rsid w:val="00C3795B"/>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2AE"/>
    <w:rsid w:val="00C4349C"/>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4E35"/>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998"/>
    <w:rsid w:val="00C66A25"/>
    <w:rsid w:val="00C66AC7"/>
    <w:rsid w:val="00C66B89"/>
    <w:rsid w:val="00C66C34"/>
    <w:rsid w:val="00C66F78"/>
    <w:rsid w:val="00C67231"/>
    <w:rsid w:val="00C672E5"/>
    <w:rsid w:val="00C67A2B"/>
    <w:rsid w:val="00C67CDA"/>
    <w:rsid w:val="00C7040D"/>
    <w:rsid w:val="00C7094A"/>
    <w:rsid w:val="00C70B8C"/>
    <w:rsid w:val="00C70D0C"/>
    <w:rsid w:val="00C711AA"/>
    <w:rsid w:val="00C71468"/>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547"/>
    <w:rsid w:val="00C80AD7"/>
    <w:rsid w:val="00C80B7D"/>
    <w:rsid w:val="00C80C97"/>
    <w:rsid w:val="00C81164"/>
    <w:rsid w:val="00C8146B"/>
    <w:rsid w:val="00C814B4"/>
    <w:rsid w:val="00C81715"/>
    <w:rsid w:val="00C818E7"/>
    <w:rsid w:val="00C8198E"/>
    <w:rsid w:val="00C81B30"/>
    <w:rsid w:val="00C82387"/>
    <w:rsid w:val="00C823AF"/>
    <w:rsid w:val="00C8312A"/>
    <w:rsid w:val="00C8362F"/>
    <w:rsid w:val="00C837D3"/>
    <w:rsid w:val="00C83C45"/>
    <w:rsid w:val="00C84332"/>
    <w:rsid w:val="00C8446F"/>
    <w:rsid w:val="00C8494D"/>
    <w:rsid w:val="00C8534D"/>
    <w:rsid w:val="00C85DD4"/>
    <w:rsid w:val="00C8624E"/>
    <w:rsid w:val="00C86379"/>
    <w:rsid w:val="00C864DB"/>
    <w:rsid w:val="00C865C0"/>
    <w:rsid w:val="00C86661"/>
    <w:rsid w:val="00C8677B"/>
    <w:rsid w:val="00C86991"/>
    <w:rsid w:val="00C8781D"/>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D87"/>
    <w:rsid w:val="00CB1D94"/>
    <w:rsid w:val="00CB1F2A"/>
    <w:rsid w:val="00CB24C1"/>
    <w:rsid w:val="00CB25B1"/>
    <w:rsid w:val="00CB2836"/>
    <w:rsid w:val="00CB2CA4"/>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798"/>
    <w:rsid w:val="00CB68B3"/>
    <w:rsid w:val="00CB6F9E"/>
    <w:rsid w:val="00CB746A"/>
    <w:rsid w:val="00CB7648"/>
    <w:rsid w:val="00CB7B6B"/>
    <w:rsid w:val="00CC009C"/>
    <w:rsid w:val="00CC00B7"/>
    <w:rsid w:val="00CC012F"/>
    <w:rsid w:val="00CC034B"/>
    <w:rsid w:val="00CC05BB"/>
    <w:rsid w:val="00CC0AA7"/>
    <w:rsid w:val="00CC0E56"/>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CE5"/>
    <w:rsid w:val="00CC6D7A"/>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5D"/>
    <w:rsid w:val="00CF277A"/>
    <w:rsid w:val="00CF2818"/>
    <w:rsid w:val="00CF2834"/>
    <w:rsid w:val="00CF2C07"/>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954"/>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3E89"/>
    <w:rsid w:val="00D14204"/>
    <w:rsid w:val="00D14D18"/>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A5C"/>
    <w:rsid w:val="00D453F7"/>
    <w:rsid w:val="00D45581"/>
    <w:rsid w:val="00D457B0"/>
    <w:rsid w:val="00D458AB"/>
    <w:rsid w:val="00D45C69"/>
    <w:rsid w:val="00D45D57"/>
    <w:rsid w:val="00D463CC"/>
    <w:rsid w:val="00D464C9"/>
    <w:rsid w:val="00D466E5"/>
    <w:rsid w:val="00D467C7"/>
    <w:rsid w:val="00D4688E"/>
    <w:rsid w:val="00D46F2D"/>
    <w:rsid w:val="00D471EF"/>
    <w:rsid w:val="00D4720F"/>
    <w:rsid w:val="00D475CC"/>
    <w:rsid w:val="00D476B1"/>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37D"/>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BC7"/>
    <w:rsid w:val="00D55C01"/>
    <w:rsid w:val="00D55C22"/>
    <w:rsid w:val="00D55C37"/>
    <w:rsid w:val="00D55DBE"/>
    <w:rsid w:val="00D55DF5"/>
    <w:rsid w:val="00D560CD"/>
    <w:rsid w:val="00D56330"/>
    <w:rsid w:val="00D563C2"/>
    <w:rsid w:val="00D56450"/>
    <w:rsid w:val="00D56533"/>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5B1"/>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7010A"/>
    <w:rsid w:val="00D7040B"/>
    <w:rsid w:val="00D708A1"/>
    <w:rsid w:val="00D70F5E"/>
    <w:rsid w:val="00D70F87"/>
    <w:rsid w:val="00D7123A"/>
    <w:rsid w:val="00D71326"/>
    <w:rsid w:val="00D71EE6"/>
    <w:rsid w:val="00D71EE8"/>
    <w:rsid w:val="00D71F20"/>
    <w:rsid w:val="00D72081"/>
    <w:rsid w:val="00D72115"/>
    <w:rsid w:val="00D724FD"/>
    <w:rsid w:val="00D72B8F"/>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B9"/>
    <w:rsid w:val="00D846C5"/>
    <w:rsid w:val="00D8483C"/>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2F0E"/>
    <w:rsid w:val="00DB31AE"/>
    <w:rsid w:val="00DB35C7"/>
    <w:rsid w:val="00DB38E3"/>
    <w:rsid w:val="00DB39DE"/>
    <w:rsid w:val="00DB3A36"/>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A59"/>
    <w:rsid w:val="00DD1CC0"/>
    <w:rsid w:val="00DD1ED7"/>
    <w:rsid w:val="00DD1F59"/>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D1"/>
    <w:rsid w:val="00DD7DF3"/>
    <w:rsid w:val="00DD7E81"/>
    <w:rsid w:val="00DE0171"/>
    <w:rsid w:val="00DE0264"/>
    <w:rsid w:val="00DE0333"/>
    <w:rsid w:val="00DE044F"/>
    <w:rsid w:val="00DE0558"/>
    <w:rsid w:val="00DE0831"/>
    <w:rsid w:val="00DE0FD2"/>
    <w:rsid w:val="00DE183E"/>
    <w:rsid w:val="00DE18C5"/>
    <w:rsid w:val="00DE21CF"/>
    <w:rsid w:val="00DE279F"/>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CA6"/>
    <w:rsid w:val="00DE7D03"/>
    <w:rsid w:val="00DE7E42"/>
    <w:rsid w:val="00DE7F96"/>
    <w:rsid w:val="00DF02EC"/>
    <w:rsid w:val="00DF0D33"/>
    <w:rsid w:val="00DF0DEB"/>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90E"/>
    <w:rsid w:val="00E272C2"/>
    <w:rsid w:val="00E272FE"/>
    <w:rsid w:val="00E27829"/>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B02"/>
    <w:rsid w:val="00E32E0E"/>
    <w:rsid w:val="00E32EA7"/>
    <w:rsid w:val="00E33802"/>
    <w:rsid w:val="00E33814"/>
    <w:rsid w:val="00E338C2"/>
    <w:rsid w:val="00E339C6"/>
    <w:rsid w:val="00E33BB9"/>
    <w:rsid w:val="00E33E4D"/>
    <w:rsid w:val="00E340C4"/>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B6F"/>
    <w:rsid w:val="00E41D2F"/>
    <w:rsid w:val="00E41DF4"/>
    <w:rsid w:val="00E428BB"/>
    <w:rsid w:val="00E42975"/>
    <w:rsid w:val="00E42E50"/>
    <w:rsid w:val="00E42FF3"/>
    <w:rsid w:val="00E432AE"/>
    <w:rsid w:val="00E4356E"/>
    <w:rsid w:val="00E43A23"/>
    <w:rsid w:val="00E43C25"/>
    <w:rsid w:val="00E43F1E"/>
    <w:rsid w:val="00E43FBE"/>
    <w:rsid w:val="00E44800"/>
    <w:rsid w:val="00E448EA"/>
    <w:rsid w:val="00E449E9"/>
    <w:rsid w:val="00E44AD7"/>
    <w:rsid w:val="00E44B2C"/>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763"/>
    <w:rsid w:val="00E65217"/>
    <w:rsid w:val="00E655CD"/>
    <w:rsid w:val="00E65D7A"/>
    <w:rsid w:val="00E65E6B"/>
    <w:rsid w:val="00E6640D"/>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1EBF"/>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91C"/>
    <w:rsid w:val="00EB4A13"/>
    <w:rsid w:val="00EB534C"/>
    <w:rsid w:val="00EB53A5"/>
    <w:rsid w:val="00EB5476"/>
    <w:rsid w:val="00EB55D2"/>
    <w:rsid w:val="00EB57B2"/>
    <w:rsid w:val="00EB57E7"/>
    <w:rsid w:val="00EB5931"/>
    <w:rsid w:val="00EB593E"/>
    <w:rsid w:val="00EB5A62"/>
    <w:rsid w:val="00EB5CC3"/>
    <w:rsid w:val="00EB6440"/>
    <w:rsid w:val="00EB6698"/>
    <w:rsid w:val="00EB6763"/>
    <w:rsid w:val="00EB67B7"/>
    <w:rsid w:val="00EB6C27"/>
    <w:rsid w:val="00EB6C53"/>
    <w:rsid w:val="00EB7502"/>
    <w:rsid w:val="00EB77C9"/>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23"/>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A"/>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606"/>
    <w:rsid w:val="00F146F6"/>
    <w:rsid w:val="00F1476B"/>
    <w:rsid w:val="00F149F8"/>
    <w:rsid w:val="00F14A3E"/>
    <w:rsid w:val="00F14FD2"/>
    <w:rsid w:val="00F1533E"/>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9B7"/>
    <w:rsid w:val="00F26A08"/>
    <w:rsid w:val="00F26AF5"/>
    <w:rsid w:val="00F26B24"/>
    <w:rsid w:val="00F27E0C"/>
    <w:rsid w:val="00F3002F"/>
    <w:rsid w:val="00F30031"/>
    <w:rsid w:val="00F30353"/>
    <w:rsid w:val="00F308C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90B"/>
    <w:rsid w:val="00F97DE0"/>
    <w:rsid w:val="00F97E1B"/>
    <w:rsid w:val="00FA038E"/>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B2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B41"/>
    <w:rsid w:val="00FC6EF1"/>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732"/>
    <w:rsid w:val="00FD7E42"/>
    <w:rsid w:val="00FD7F6A"/>
    <w:rsid w:val="00FE0295"/>
    <w:rsid w:val="00FE04B6"/>
    <w:rsid w:val="00FE058F"/>
    <w:rsid w:val="00FE05E5"/>
    <w:rsid w:val="00FE0657"/>
    <w:rsid w:val="00FE07D8"/>
    <w:rsid w:val="00FE1C62"/>
    <w:rsid w:val="00FE20AB"/>
    <w:rsid w:val="00FE22FE"/>
    <w:rsid w:val="00FE2514"/>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E0B396-D492-4AED-A98D-0C2A8A14D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17897</TotalTime>
  <Pages>5</Pages>
  <Words>1121</Words>
  <Characters>6391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7498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1403</cp:revision>
  <cp:lastPrinted>2011-11-09T07:49:00Z</cp:lastPrinted>
  <dcterms:created xsi:type="dcterms:W3CDTF">2018-11-02T18:38:00Z</dcterms:created>
  <dcterms:modified xsi:type="dcterms:W3CDTF">2020-10-24T05:25:00Z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7e9efc7b-eea3-451e-8b9a-27b5b62a4302</vt:lpwstr>
  </property>
  <property fmtid="{D5CDD505-2E9C-101B-9397-08002B2CF9AE}" pid="10" name="CTP_BU">
    <vt:lpwstr>TSCG CENTRAL GROUP</vt:lpwstr>
  </property>
  <property fmtid="{D5CDD505-2E9C-101B-9397-08002B2CF9AE}" pid="11" name="CTP_TimeStamp">
    <vt:lpwstr>2020-08-07 17:34:16Z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2020-10-21T14:24:44.4884638Z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c8eb6ef5-e4a5-4b7d-bd58-e18784ff19ee</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